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B0FC0">
      <w:pPr>
        <w:spacing w:line="360" w:lineRule="auto"/>
        <w:jc w:val="center"/>
        <w:rPr>
          <w:rFonts w:cs="Arial" w:asciiTheme="minorEastAsia" w:hAnsiTheme="minorEastAsia" w:eastAsiaTheme="minorEastAsia"/>
          <w:sz w:val="20"/>
          <w:szCs w:val="30"/>
          <w:u w:val="single"/>
        </w:rPr>
      </w:pPr>
      <w:r>
        <w:rPr>
          <w:rFonts w:hint="eastAsia" w:cs="Arial" w:asciiTheme="minorEastAsia" w:hAnsiTheme="minorEastAsia" w:eastAsiaTheme="minorEastAsia"/>
          <w:sz w:val="20"/>
          <w:szCs w:val="30"/>
        </w:rPr>
        <w:t xml:space="preserve">                                                      协议</w:t>
      </w:r>
      <w:r>
        <w:rPr>
          <w:rFonts w:cs="Arial" w:asciiTheme="minorEastAsia" w:hAnsiTheme="minorEastAsia" w:eastAsiaTheme="minorEastAsia"/>
          <w:sz w:val="20"/>
          <w:szCs w:val="30"/>
        </w:rPr>
        <w:t>编号：</w:t>
      </w:r>
      <w:r>
        <w:rPr>
          <w:rFonts w:hint="eastAsia" w:cs="Arial" w:asciiTheme="minorEastAsia" w:hAnsiTheme="minorEastAsia" w:eastAsiaTheme="minorEastAsia"/>
          <w:sz w:val="20"/>
          <w:szCs w:val="30"/>
          <w:u w:val="single"/>
        </w:rPr>
        <w:t xml:space="preserve">            </w:t>
      </w:r>
    </w:p>
    <w:p w14:paraId="74DBF544">
      <w:pPr>
        <w:pStyle w:val="27"/>
        <w:spacing w:line="360" w:lineRule="auto"/>
        <w:jc w:val="center"/>
        <w:rPr>
          <w:rFonts w:cs="Arial" w:asciiTheme="minorEastAsia" w:hAnsiTheme="minorEastAsia" w:eastAsiaTheme="minorEastAsia"/>
          <w:b/>
          <w:color w:val="auto"/>
          <w:sz w:val="40"/>
          <w:szCs w:val="30"/>
        </w:rPr>
      </w:pPr>
    </w:p>
    <w:p w14:paraId="158233CC">
      <w:pPr>
        <w:pStyle w:val="27"/>
        <w:spacing w:line="360" w:lineRule="auto"/>
        <w:jc w:val="center"/>
        <w:rPr>
          <w:rFonts w:ascii="楷体" w:hAnsi="楷体" w:eastAsia="楷体" w:cs="Arial"/>
          <w:b/>
          <w:color w:val="auto"/>
          <w:sz w:val="32"/>
          <w:szCs w:val="32"/>
        </w:rPr>
      </w:pPr>
      <w:r>
        <w:rPr>
          <w:rFonts w:hint="eastAsia" w:ascii="楷体" w:hAnsi="楷体" w:eastAsia="楷体" w:cs="Arial"/>
          <w:b/>
          <w:color w:val="auto"/>
          <w:sz w:val="32"/>
          <w:szCs w:val="32"/>
        </w:rPr>
        <w:t>临床研究协调员（CRC）服务三方协议</w:t>
      </w:r>
      <w:r>
        <w:rPr>
          <w:rFonts w:ascii="楷体" w:hAnsi="楷体" w:eastAsia="楷体" w:cs="Arial"/>
          <w:b/>
          <w:color w:val="auto"/>
          <w:sz w:val="32"/>
          <w:szCs w:val="32"/>
        </w:rPr>
        <w:tab/>
      </w:r>
    </w:p>
    <w:p w14:paraId="676708F4">
      <w:pPr>
        <w:spacing w:line="360" w:lineRule="auto"/>
        <w:jc w:val="center"/>
        <w:rPr>
          <w:rFonts w:ascii="楷体" w:hAnsi="楷体" w:eastAsia="楷体" w:cs="Arial"/>
          <w:b/>
          <w:sz w:val="32"/>
          <w:szCs w:val="32"/>
        </w:rPr>
      </w:pPr>
    </w:p>
    <w:p w14:paraId="7DA7A5F5">
      <w:pPr>
        <w:pStyle w:val="27"/>
        <w:spacing w:line="360" w:lineRule="auto"/>
        <w:ind w:left="2020" w:leftChars="200" w:hanging="1600" w:hangingChars="500"/>
        <w:rPr>
          <w:rFonts w:ascii="楷体" w:hAnsi="楷体" w:eastAsia="楷体" w:cs="Arial"/>
          <w:b/>
          <w:bCs/>
          <w:color w:val="auto"/>
          <w:sz w:val="32"/>
          <w:szCs w:val="32"/>
          <w:u w:val="single"/>
        </w:rPr>
      </w:pPr>
      <w:r>
        <w:rPr>
          <w:rFonts w:hint="eastAsia" w:ascii="楷体" w:hAnsi="楷体" w:eastAsia="楷体" w:cs="Arial"/>
          <w:color w:val="auto"/>
          <w:sz w:val="32"/>
          <w:szCs w:val="32"/>
        </w:rPr>
        <w:t xml:space="preserve">项目名称：  </w:t>
      </w:r>
      <w:r>
        <w:rPr>
          <w:rFonts w:hint="eastAsia" w:ascii="楷体" w:hAnsi="楷体" w:eastAsia="楷体" w:cs="Arial"/>
          <w:color w:val="auto"/>
          <w:sz w:val="32"/>
          <w:szCs w:val="32"/>
          <w:u w:val="single"/>
        </w:rPr>
        <w:t xml:space="preserve">                                          </w:t>
      </w:r>
    </w:p>
    <w:p w14:paraId="272D0FF1">
      <w:pPr>
        <w:pStyle w:val="27"/>
        <w:spacing w:line="360" w:lineRule="auto"/>
        <w:ind w:left="2026" w:leftChars="200" w:hanging="1606" w:hangingChars="500"/>
        <w:rPr>
          <w:rFonts w:ascii="楷体" w:hAnsi="楷体" w:eastAsia="楷体" w:cs="Arial"/>
          <w:b/>
          <w:bCs/>
          <w:color w:val="auto"/>
          <w:sz w:val="32"/>
          <w:szCs w:val="32"/>
          <w:u w:val="single"/>
        </w:rPr>
      </w:pPr>
      <w:r>
        <w:rPr>
          <w:rFonts w:hint="eastAsia" w:ascii="楷体" w:hAnsi="楷体" w:eastAsia="楷体" w:cs="Arial"/>
          <w:b/>
          <w:bCs/>
          <w:color w:val="auto"/>
          <w:sz w:val="32"/>
          <w:szCs w:val="32"/>
          <w:u w:val="single"/>
        </w:rPr>
        <w:t xml:space="preserve">                                                     </w:t>
      </w:r>
    </w:p>
    <w:p w14:paraId="208CBF78">
      <w:pPr>
        <w:pStyle w:val="27"/>
        <w:spacing w:line="360" w:lineRule="auto"/>
        <w:ind w:left="2020" w:leftChars="200" w:hanging="1600" w:hangingChars="500"/>
        <w:rPr>
          <w:rFonts w:hint="eastAsia" w:ascii="楷体" w:hAnsi="楷体" w:eastAsia="楷体" w:cs="Arial"/>
          <w:color w:val="auto"/>
          <w:sz w:val="32"/>
          <w:szCs w:val="32"/>
        </w:rPr>
      </w:pPr>
      <w:r>
        <w:rPr>
          <w:rFonts w:hint="eastAsia" w:ascii="楷体" w:hAnsi="楷体" w:eastAsia="楷体" w:cs="Arial"/>
          <w:color w:val="auto"/>
          <w:sz w:val="32"/>
          <w:szCs w:val="32"/>
        </w:rPr>
        <w:t>主要研究者：</w:t>
      </w:r>
      <w:r>
        <w:rPr>
          <w:rFonts w:hint="eastAsia" w:ascii="楷体" w:hAnsi="楷体" w:eastAsia="楷体" w:cs="Arial"/>
          <w:color w:val="auto"/>
          <w:sz w:val="32"/>
          <w:szCs w:val="32"/>
          <w:u w:val="single"/>
        </w:rPr>
        <w:t xml:space="preserve">            </w:t>
      </w:r>
      <w:r>
        <w:rPr>
          <w:rFonts w:hint="eastAsia" w:ascii="楷体" w:hAnsi="楷体" w:eastAsia="楷体" w:cs="Arial"/>
          <w:color w:val="auto"/>
          <w:sz w:val="32"/>
          <w:szCs w:val="32"/>
        </w:rPr>
        <w:t xml:space="preserve">  </w:t>
      </w:r>
    </w:p>
    <w:p w14:paraId="415B91A2">
      <w:pPr>
        <w:pStyle w:val="27"/>
        <w:spacing w:line="360" w:lineRule="auto"/>
        <w:ind w:left="2020" w:leftChars="200" w:hanging="1600" w:hangingChars="500"/>
        <w:rPr>
          <w:rFonts w:ascii="楷体" w:hAnsi="楷体" w:eastAsia="楷体" w:cs="Arial"/>
          <w:color w:val="auto"/>
          <w:sz w:val="32"/>
          <w:szCs w:val="32"/>
        </w:rPr>
      </w:pPr>
      <w:r>
        <w:rPr>
          <w:rFonts w:hint="eastAsia" w:ascii="楷体" w:hAnsi="楷体" w:eastAsia="楷体" w:cs="Arial"/>
          <w:color w:val="auto"/>
          <w:sz w:val="32"/>
          <w:szCs w:val="32"/>
          <w:lang w:eastAsia="zh-CN"/>
        </w:rPr>
        <w:t>研究科室：</w:t>
      </w:r>
      <w:r>
        <w:rPr>
          <w:rFonts w:hint="eastAsia" w:ascii="楷体" w:hAnsi="楷体" w:eastAsia="楷体" w:cs="Arial"/>
          <w:color w:val="auto"/>
          <w:sz w:val="32"/>
          <w:szCs w:val="32"/>
          <w:u w:val="single"/>
        </w:rPr>
        <w:t xml:space="preserve">             </w:t>
      </w:r>
      <w:r>
        <w:rPr>
          <w:rFonts w:hint="eastAsia" w:ascii="楷体" w:hAnsi="楷体" w:eastAsia="楷体" w:cs="Arial"/>
          <w:color w:val="auto"/>
          <w:sz w:val="32"/>
          <w:szCs w:val="32"/>
        </w:rPr>
        <w:t xml:space="preserve">   </w:t>
      </w:r>
    </w:p>
    <w:p w14:paraId="598377EA">
      <w:pPr>
        <w:pStyle w:val="27"/>
        <w:spacing w:line="360" w:lineRule="auto"/>
        <w:ind w:left="2026" w:leftChars="200" w:hanging="1606" w:hangingChars="500"/>
        <w:rPr>
          <w:rFonts w:ascii="楷体" w:hAnsi="楷体" w:eastAsia="楷体" w:cs="Arial"/>
          <w:b/>
          <w:color w:val="auto"/>
          <w:sz w:val="32"/>
          <w:szCs w:val="32"/>
          <w:u w:val="single"/>
        </w:rPr>
      </w:pPr>
    </w:p>
    <w:p w14:paraId="6AC0816A">
      <w:pPr>
        <w:pStyle w:val="27"/>
        <w:spacing w:line="360" w:lineRule="auto"/>
        <w:ind w:firstLine="643" w:firstLineChars="200"/>
        <w:rPr>
          <w:rFonts w:ascii="楷体" w:hAnsi="楷体" w:eastAsia="楷体" w:cs="Arial"/>
          <w:b/>
          <w:color w:val="auto"/>
          <w:sz w:val="32"/>
          <w:szCs w:val="32"/>
        </w:rPr>
      </w:pPr>
    </w:p>
    <w:p w14:paraId="3E1CE9E8">
      <w:pPr>
        <w:pStyle w:val="27"/>
        <w:spacing w:line="360" w:lineRule="auto"/>
        <w:rPr>
          <w:rFonts w:ascii="楷体" w:hAnsi="楷体" w:eastAsia="楷体" w:cs="Arial"/>
          <w:b/>
          <w:color w:val="auto"/>
          <w:sz w:val="32"/>
          <w:szCs w:val="32"/>
          <w:u w:val="single"/>
        </w:rPr>
      </w:pPr>
      <w:r>
        <w:rPr>
          <w:rFonts w:hint="eastAsia" w:ascii="楷体" w:hAnsi="楷体" w:eastAsia="楷体" w:cs="Arial"/>
          <w:color w:val="auto"/>
          <w:sz w:val="32"/>
          <w:szCs w:val="32"/>
        </w:rPr>
        <w:t xml:space="preserve">   协议类别：</w:t>
      </w:r>
      <w:r>
        <w:rPr>
          <w:rFonts w:hint="eastAsia" w:ascii="楷体" w:hAnsi="楷体" w:eastAsia="楷体" w:cs="Arial"/>
          <w:b/>
          <w:color w:val="auto"/>
          <w:sz w:val="32"/>
          <w:szCs w:val="32"/>
          <w:u w:val="single"/>
        </w:rPr>
        <w:t xml:space="preserve">临床研究协调员（CRC）服务协议                </w:t>
      </w:r>
      <w:r>
        <w:rPr>
          <w:rFonts w:ascii="楷体" w:hAnsi="楷体" w:eastAsia="楷体" w:cs="Arial"/>
          <w:b/>
          <w:color w:val="auto"/>
          <w:sz w:val="32"/>
          <w:szCs w:val="32"/>
          <w:u w:val="single"/>
        </w:rPr>
        <w:t xml:space="preserve">  </w:t>
      </w:r>
    </w:p>
    <w:p w14:paraId="68C4DE79">
      <w:pPr>
        <w:pStyle w:val="27"/>
        <w:spacing w:line="360" w:lineRule="auto"/>
        <w:ind w:firstLine="643" w:firstLineChars="200"/>
        <w:rPr>
          <w:rFonts w:ascii="楷体" w:hAnsi="楷体" w:eastAsia="楷体" w:cs="Arial"/>
          <w:b/>
          <w:color w:val="auto"/>
          <w:sz w:val="32"/>
          <w:szCs w:val="32"/>
        </w:rPr>
      </w:pPr>
    </w:p>
    <w:p w14:paraId="52D1039B">
      <w:pPr>
        <w:pStyle w:val="27"/>
        <w:spacing w:line="360" w:lineRule="auto"/>
        <w:rPr>
          <w:rFonts w:ascii="楷体" w:hAnsi="楷体" w:eastAsia="楷体" w:cs="Arial"/>
          <w:b/>
          <w:color w:val="auto"/>
          <w:sz w:val="32"/>
          <w:szCs w:val="32"/>
          <w:u w:val="single"/>
        </w:rPr>
      </w:pPr>
      <w:r>
        <w:rPr>
          <w:rFonts w:hint="eastAsia" w:ascii="楷体" w:hAnsi="楷体" w:eastAsia="楷体" w:cs="Arial"/>
          <w:color w:val="auto"/>
          <w:sz w:val="32"/>
          <w:szCs w:val="32"/>
        </w:rPr>
        <w:t xml:space="preserve">   甲方</w:t>
      </w:r>
      <w:bookmarkStart w:id="0" w:name="OLE_LINK2"/>
      <w:bookmarkEnd w:id="0"/>
      <w:bookmarkStart w:id="1" w:name="OLE_LINK1"/>
      <w:bookmarkEnd w:id="1"/>
      <w:r>
        <w:rPr>
          <w:rFonts w:hint="eastAsia" w:ascii="楷体" w:hAnsi="楷体" w:eastAsia="楷体" w:cs="Arial"/>
          <w:color w:val="auto"/>
          <w:sz w:val="32"/>
          <w:szCs w:val="32"/>
        </w:rPr>
        <w:t>：</w:t>
      </w:r>
      <w:r>
        <w:rPr>
          <w:rFonts w:hint="eastAsia" w:ascii="楷体" w:hAnsi="楷体" w:eastAsia="楷体" w:cs="Arial"/>
          <w:b/>
          <w:color w:val="FF0000"/>
          <w:sz w:val="32"/>
          <w:szCs w:val="32"/>
          <w:u w:val="single"/>
        </w:rPr>
        <w:t xml:space="preserve">  </w:t>
      </w:r>
      <w:commentRangeStart w:id="0"/>
      <w:r>
        <w:rPr>
          <w:rFonts w:hint="eastAsia" w:ascii="楷体" w:hAnsi="楷体" w:eastAsia="楷体" w:cs="Arial"/>
          <w:b/>
          <w:color w:val="FF0000"/>
          <w:sz w:val="32"/>
          <w:szCs w:val="32"/>
          <w:u w:val="single"/>
        </w:rPr>
        <w:t>申办方 /CRO</w:t>
      </w:r>
      <w:commentRangeEnd w:id="0"/>
      <w:r>
        <w:rPr>
          <w:rStyle w:val="20"/>
          <w:rFonts w:ascii="Times New Roman" w:eastAsia="宋体" w:cs="Times New Roman"/>
          <w:color w:val="auto"/>
          <w:kern w:val="2"/>
        </w:rPr>
        <w:commentReference w:id="0"/>
      </w:r>
      <w:r>
        <w:rPr>
          <w:rFonts w:hint="eastAsia" w:ascii="楷体" w:hAnsi="楷体" w:eastAsia="楷体" w:cs="Arial"/>
          <w:b/>
          <w:color w:val="FF0000"/>
          <w:sz w:val="32"/>
          <w:szCs w:val="32"/>
          <w:u w:val="single"/>
        </w:rPr>
        <w:t xml:space="preserve">                    </w:t>
      </w:r>
      <w:r>
        <w:rPr>
          <w:rFonts w:ascii="楷体" w:hAnsi="楷体" w:eastAsia="楷体" w:cs="Arial"/>
          <w:b/>
          <w:color w:val="FF0000"/>
          <w:sz w:val="32"/>
          <w:szCs w:val="32"/>
          <w:u w:val="single"/>
        </w:rPr>
        <w:t xml:space="preserve">                   </w:t>
      </w:r>
    </w:p>
    <w:p w14:paraId="3F34AD0D">
      <w:pPr>
        <w:pStyle w:val="27"/>
        <w:spacing w:line="360" w:lineRule="auto"/>
        <w:rPr>
          <w:rFonts w:ascii="楷体" w:hAnsi="楷体" w:eastAsia="楷体" w:cs="Arial"/>
          <w:color w:val="auto"/>
          <w:sz w:val="32"/>
          <w:szCs w:val="32"/>
        </w:rPr>
      </w:pPr>
      <w:r>
        <w:rPr>
          <w:rFonts w:hint="eastAsia" w:ascii="楷体" w:hAnsi="楷体" w:eastAsia="楷体" w:cs="Arial"/>
          <w:color w:val="auto"/>
          <w:sz w:val="32"/>
          <w:szCs w:val="32"/>
        </w:rPr>
        <w:t xml:space="preserve">   地址：</w:t>
      </w:r>
    </w:p>
    <w:p w14:paraId="1EEA20F9">
      <w:pPr>
        <w:pStyle w:val="27"/>
        <w:spacing w:line="360" w:lineRule="auto"/>
        <w:rPr>
          <w:rFonts w:ascii="楷体" w:hAnsi="楷体" w:eastAsia="楷体" w:cs="Arial"/>
          <w:color w:val="auto"/>
          <w:sz w:val="32"/>
          <w:szCs w:val="32"/>
        </w:rPr>
      </w:pPr>
      <w:r>
        <w:rPr>
          <w:rFonts w:hint="eastAsia" w:ascii="楷体" w:hAnsi="楷体" w:eastAsia="楷体" w:cs="Arial"/>
          <w:color w:val="auto"/>
          <w:sz w:val="32"/>
          <w:szCs w:val="32"/>
        </w:rPr>
        <w:t xml:space="preserve">   联系人：                 联系方式：</w:t>
      </w:r>
    </w:p>
    <w:p w14:paraId="3FCA75BE">
      <w:pPr>
        <w:pStyle w:val="27"/>
        <w:spacing w:line="360" w:lineRule="auto"/>
        <w:ind w:firstLine="643" w:firstLineChars="200"/>
        <w:rPr>
          <w:rFonts w:ascii="楷体" w:hAnsi="楷体" w:eastAsia="楷体" w:cs="Arial"/>
          <w:b/>
          <w:color w:val="auto"/>
          <w:sz w:val="32"/>
          <w:szCs w:val="32"/>
        </w:rPr>
      </w:pPr>
      <w:r>
        <w:rPr>
          <w:rFonts w:hint="eastAsia" w:ascii="楷体" w:hAnsi="楷体" w:eastAsia="楷体" w:cs="Arial"/>
          <w:b/>
          <w:color w:val="auto"/>
          <w:sz w:val="32"/>
          <w:szCs w:val="32"/>
        </w:rPr>
        <w:t xml:space="preserve">  </w:t>
      </w:r>
    </w:p>
    <w:p w14:paraId="135D913C">
      <w:pPr>
        <w:pStyle w:val="27"/>
        <w:spacing w:line="360" w:lineRule="auto"/>
        <w:rPr>
          <w:rFonts w:ascii="楷体" w:hAnsi="楷体" w:eastAsia="楷体" w:cs="Arial"/>
          <w:b/>
          <w:color w:val="auto"/>
          <w:sz w:val="32"/>
          <w:szCs w:val="32"/>
          <w:u w:val="single"/>
        </w:rPr>
      </w:pPr>
      <w:r>
        <w:rPr>
          <w:rFonts w:hint="eastAsia" w:ascii="楷体" w:hAnsi="楷体" w:eastAsia="楷体" w:cs="Arial"/>
          <w:color w:val="auto"/>
          <w:sz w:val="32"/>
          <w:szCs w:val="32"/>
        </w:rPr>
        <w:t xml:space="preserve">   乙方：</w:t>
      </w:r>
      <w:r>
        <w:rPr>
          <w:rFonts w:hint="eastAsia" w:ascii="楷体" w:hAnsi="楷体" w:eastAsia="楷体" w:cs="Arial"/>
          <w:b/>
          <w:color w:val="auto"/>
          <w:sz w:val="32"/>
          <w:szCs w:val="32"/>
          <w:u w:val="single"/>
        </w:rPr>
        <w:t>首都</w:t>
      </w:r>
      <w:r>
        <w:rPr>
          <w:rFonts w:ascii="楷体" w:hAnsi="楷体" w:eastAsia="楷体" w:cs="Arial"/>
          <w:b/>
          <w:color w:val="auto"/>
          <w:sz w:val="32"/>
          <w:szCs w:val="32"/>
          <w:u w:val="single"/>
        </w:rPr>
        <w:t>医科大学宣武</w:t>
      </w:r>
      <w:r>
        <w:rPr>
          <w:rFonts w:hint="eastAsia" w:ascii="楷体" w:hAnsi="楷体" w:eastAsia="楷体" w:cs="Arial"/>
          <w:b/>
          <w:color w:val="auto"/>
          <w:sz w:val="32"/>
          <w:szCs w:val="32"/>
          <w:u w:val="single"/>
        </w:rPr>
        <w:t xml:space="preserve">医院                               </w:t>
      </w:r>
    </w:p>
    <w:p w14:paraId="71328E1B">
      <w:pPr>
        <w:pStyle w:val="27"/>
        <w:spacing w:line="360" w:lineRule="auto"/>
        <w:rPr>
          <w:rFonts w:ascii="楷体" w:hAnsi="楷体" w:eastAsia="楷体" w:cs="Arial"/>
          <w:color w:val="auto"/>
          <w:sz w:val="32"/>
          <w:szCs w:val="32"/>
        </w:rPr>
      </w:pPr>
      <w:r>
        <w:rPr>
          <w:rFonts w:hint="eastAsia" w:ascii="楷体" w:hAnsi="楷体" w:eastAsia="楷体" w:cs="Arial"/>
          <w:color w:val="auto"/>
          <w:sz w:val="32"/>
          <w:szCs w:val="32"/>
        </w:rPr>
        <w:t xml:space="preserve">   地址：北京市西城区长椿街45号</w:t>
      </w:r>
    </w:p>
    <w:p w14:paraId="654278BD">
      <w:pPr>
        <w:pStyle w:val="27"/>
        <w:spacing w:line="360" w:lineRule="auto"/>
        <w:rPr>
          <w:rFonts w:hint="eastAsia" w:ascii="楷体" w:hAnsi="楷体" w:eastAsia="楷体" w:cs="Arial"/>
          <w:color w:val="auto"/>
          <w:sz w:val="32"/>
          <w:szCs w:val="32"/>
          <w:lang w:val="en-US" w:eastAsia="zh-CN"/>
        </w:rPr>
      </w:pPr>
      <w:r>
        <w:rPr>
          <w:rFonts w:hint="eastAsia" w:ascii="楷体" w:hAnsi="楷体" w:eastAsia="楷体" w:cs="Arial"/>
          <w:color w:val="auto"/>
          <w:sz w:val="32"/>
          <w:szCs w:val="32"/>
        </w:rPr>
        <w:t xml:space="preserve">   联系人：</w:t>
      </w:r>
      <w:r>
        <w:rPr>
          <w:rFonts w:hint="eastAsia" w:ascii="楷体" w:hAnsi="楷体" w:eastAsia="楷体" w:cs="Arial"/>
          <w:color w:val="auto"/>
          <w:sz w:val="32"/>
          <w:szCs w:val="32"/>
          <w:lang w:eastAsia="zh-CN"/>
        </w:rPr>
        <w:t>詹雅蓉</w:t>
      </w:r>
      <w:r>
        <w:rPr>
          <w:rFonts w:hint="eastAsia" w:ascii="楷体" w:hAnsi="楷体" w:eastAsia="楷体" w:cs="Arial"/>
          <w:color w:val="auto"/>
          <w:sz w:val="32"/>
          <w:szCs w:val="32"/>
        </w:rPr>
        <w:t xml:space="preserve">           联系方式：15699959843</w:t>
      </w:r>
    </w:p>
    <w:p w14:paraId="486B20B4">
      <w:pPr>
        <w:pStyle w:val="27"/>
        <w:spacing w:line="360" w:lineRule="auto"/>
        <w:ind w:firstLine="643" w:firstLineChars="200"/>
        <w:rPr>
          <w:rFonts w:ascii="楷体" w:hAnsi="楷体" w:eastAsia="楷体" w:cs="Arial"/>
          <w:b/>
          <w:color w:val="auto"/>
          <w:sz w:val="32"/>
          <w:szCs w:val="32"/>
        </w:rPr>
      </w:pPr>
      <w:r>
        <w:rPr>
          <w:rFonts w:hint="eastAsia" w:ascii="楷体" w:hAnsi="楷体" w:eastAsia="楷体" w:cs="Arial"/>
          <w:b/>
          <w:color w:val="auto"/>
          <w:sz w:val="32"/>
          <w:szCs w:val="32"/>
        </w:rPr>
        <w:t xml:space="preserve">  </w:t>
      </w:r>
    </w:p>
    <w:p w14:paraId="6F349941">
      <w:pPr>
        <w:pStyle w:val="27"/>
        <w:spacing w:line="360" w:lineRule="auto"/>
        <w:rPr>
          <w:rFonts w:ascii="楷体" w:hAnsi="楷体" w:eastAsia="楷体" w:cs="Arial"/>
          <w:b/>
          <w:color w:val="FF0000"/>
          <w:sz w:val="32"/>
          <w:szCs w:val="32"/>
          <w:u w:val="single"/>
        </w:rPr>
      </w:pPr>
      <w:r>
        <w:rPr>
          <w:rFonts w:hint="eastAsia" w:ascii="楷体" w:hAnsi="楷体" w:eastAsia="楷体" w:cs="Arial"/>
          <w:color w:val="auto"/>
          <w:sz w:val="32"/>
          <w:szCs w:val="32"/>
        </w:rPr>
        <w:t xml:space="preserve">   丙方：</w:t>
      </w:r>
      <w:r>
        <w:rPr>
          <w:rFonts w:hint="eastAsia" w:ascii="楷体" w:hAnsi="楷体" w:eastAsia="楷体" w:cs="Arial"/>
          <w:color w:val="FF0000"/>
          <w:sz w:val="32"/>
          <w:szCs w:val="32"/>
          <w:u w:val="single"/>
        </w:rPr>
        <w:t xml:space="preserve">  </w:t>
      </w:r>
      <w:r>
        <w:rPr>
          <w:rFonts w:hint="eastAsia" w:ascii="楷体" w:hAnsi="楷体" w:eastAsia="楷体" w:cs="Arial"/>
          <w:b/>
          <w:color w:val="FF0000"/>
          <w:sz w:val="32"/>
          <w:szCs w:val="32"/>
          <w:u w:val="single"/>
        </w:rPr>
        <w:t xml:space="preserve"> SMO                                          </w:t>
      </w:r>
    </w:p>
    <w:p w14:paraId="10FF0CC9">
      <w:pPr>
        <w:pStyle w:val="27"/>
        <w:spacing w:line="360" w:lineRule="auto"/>
        <w:rPr>
          <w:rFonts w:ascii="楷体" w:hAnsi="楷体" w:eastAsia="楷体" w:cs="Arial"/>
          <w:color w:val="auto"/>
          <w:sz w:val="32"/>
          <w:szCs w:val="32"/>
        </w:rPr>
      </w:pPr>
      <w:r>
        <w:rPr>
          <w:rFonts w:hint="eastAsia" w:ascii="楷体" w:hAnsi="楷体" w:eastAsia="楷体" w:cs="Arial"/>
          <w:color w:val="auto"/>
          <w:sz w:val="32"/>
          <w:szCs w:val="32"/>
        </w:rPr>
        <w:t xml:space="preserve">   地址：</w:t>
      </w:r>
    </w:p>
    <w:p w14:paraId="027AA1FF">
      <w:pPr>
        <w:pStyle w:val="27"/>
        <w:spacing w:line="360" w:lineRule="auto"/>
        <w:rPr>
          <w:rFonts w:ascii="楷体" w:hAnsi="楷体" w:eastAsia="楷体" w:cs="Arial"/>
          <w:color w:val="auto"/>
          <w:sz w:val="32"/>
          <w:szCs w:val="32"/>
        </w:rPr>
      </w:pPr>
      <w:r>
        <w:rPr>
          <w:rFonts w:hint="eastAsia" w:ascii="楷体" w:hAnsi="楷体" w:eastAsia="楷体" w:cs="Arial"/>
          <w:color w:val="auto"/>
          <w:sz w:val="32"/>
          <w:szCs w:val="32"/>
        </w:rPr>
        <w:t xml:space="preserve">   联系人：                 联系方式：</w:t>
      </w:r>
    </w:p>
    <w:p w14:paraId="648CF87B">
      <w:pPr>
        <w:pStyle w:val="27"/>
        <w:spacing w:line="360" w:lineRule="auto"/>
        <w:rPr>
          <w:rFonts w:ascii="楷体" w:hAnsi="楷体" w:eastAsia="楷体" w:cs="Arial"/>
          <w:b/>
          <w:color w:val="auto"/>
          <w:sz w:val="32"/>
          <w:szCs w:val="32"/>
        </w:rPr>
      </w:pPr>
    </w:p>
    <w:p w14:paraId="2C8A83AC">
      <w:pPr>
        <w:pStyle w:val="27"/>
        <w:spacing w:line="360" w:lineRule="auto"/>
        <w:rPr>
          <w:sz w:val="28"/>
          <w:szCs w:val="28"/>
        </w:rPr>
      </w:pPr>
      <w:r>
        <w:rPr>
          <w:rFonts w:hint="eastAsia"/>
          <w:sz w:val="28"/>
          <w:szCs w:val="28"/>
        </w:rPr>
        <w:t xml:space="preserve">    本协议由甲、乙、丙三方之间签订。本协议自各方合法授权代表签字盖章最晚一个日期起生效。</w:t>
      </w:r>
    </w:p>
    <w:p w14:paraId="17BBEC07">
      <w:pPr>
        <w:pStyle w:val="27"/>
        <w:spacing w:line="360" w:lineRule="auto"/>
        <w:rPr>
          <w:sz w:val="28"/>
          <w:szCs w:val="28"/>
        </w:rPr>
      </w:pPr>
      <w:r>
        <w:rPr>
          <w:rFonts w:hint="eastAsia"/>
          <w:sz w:val="28"/>
          <w:szCs w:val="28"/>
        </w:rPr>
        <w:t xml:space="preserve">    甲方已与乙方签订临床研究协议，根据临床研究协议约定，甲方委托乙方 ***教授作为主要研究者开展“******************************”</w:t>
      </w:r>
      <w:r>
        <w:rPr>
          <w:rFonts w:hint="eastAsia" w:ascii="宋体" w:hAnsi="宋体" w:eastAsia="宋体"/>
          <w:sz w:val="28"/>
          <w:szCs w:val="28"/>
        </w:rPr>
        <w:t>的临床研究</w:t>
      </w:r>
      <w:r>
        <w:rPr>
          <w:rFonts w:hint="eastAsia"/>
          <w:sz w:val="28"/>
          <w:szCs w:val="28"/>
        </w:rPr>
        <w:t>，乙方承诺其将严格按照临床研究协议及研究方案的要求进行临床研究。</w:t>
      </w:r>
    </w:p>
    <w:p w14:paraId="257F3D0D">
      <w:pPr>
        <w:pStyle w:val="27"/>
        <w:spacing w:line="360" w:lineRule="auto"/>
        <w:ind w:firstLine="560" w:firstLineChars="200"/>
        <w:rPr>
          <w:sz w:val="28"/>
          <w:szCs w:val="28"/>
        </w:rPr>
      </w:pPr>
      <w:r>
        <w:rPr>
          <w:rFonts w:hint="eastAsia"/>
          <w:sz w:val="28"/>
          <w:szCs w:val="28"/>
        </w:rPr>
        <w:t>甲方拟委托丙方为该临床研究提供临床研究协调服务，现经甲、乙、丙三方协商同意：</w:t>
      </w:r>
      <w:commentRangeStart w:id="1"/>
      <w:r>
        <w:rPr>
          <w:rFonts w:hint="eastAsia"/>
          <w:sz w:val="28"/>
          <w:szCs w:val="28"/>
        </w:rPr>
        <w:t>甲方作为费用支付方，将根据丙方提供的 CRC 服务相关的款项（“CRC服务费”）直接支付给丙方。</w:t>
      </w:r>
      <w:commentRangeEnd w:id="1"/>
      <w:r>
        <w:commentReference w:id="1"/>
      </w:r>
    </w:p>
    <w:p w14:paraId="13F3BB86">
      <w:pPr>
        <w:spacing w:line="360" w:lineRule="auto"/>
        <w:ind w:firstLine="560" w:firstLineChars="200"/>
        <w:rPr>
          <w:sz w:val="28"/>
          <w:szCs w:val="28"/>
        </w:rPr>
      </w:pPr>
      <w:r>
        <w:rPr>
          <w:rFonts w:hint="eastAsia"/>
          <w:sz w:val="28"/>
          <w:szCs w:val="28"/>
        </w:rPr>
        <w:t>因此，各方本着平等自愿的原则，经协商一致，达成如下协议（以下简称“本协议”）：</w:t>
      </w:r>
    </w:p>
    <w:p w14:paraId="4AE21314">
      <w:pPr>
        <w:spacing w:line="360" w:lineRule="auto"/>
        <w:rPr>
          <w:b/>
          <w:sz w:val="28"/>
          <w:szCs w:val="28"/>
        </w:rPr>
      </w:pPr>
      <w:r>
        <w:rPr>
          <w:rFonts w:hint="eastAsia"/>
          <w:b/>
          <w:sz w:val="28"/>
          <w:szCs w:val="28"/>
        </w:rPr>
        <w:t>1、服务</w:t>
      </w:r>
    </w:p>
    <w:p w14:paraId="59E72D23">
      <w:pPr>
        <w:spacing w:line="360" w:lineRule="auto"/>
        <w:rPr>
          <w:sz w:val="28"/>
          <w:szCs w:val="28"/>
        </w:rPr>
      </w:pPr>
      <w:r>
        <w:rPr>
          <w:rFonts w:hint="eastAsia"/>
          <w:sz w:val="28"/>
          <w:szCs w:val="28"/>
        </w:rPr>
        <w:t>1.1</w:t>
      </w:r>
      <w:r>
        <w:rPr>
          <w:sz w:val="28"/>
          <w:szCs w:val="28"/>
        </w:rPr>
        <w:t xml:space="preserve"> CRC</w:t>
      </w:r>
      <w:r>
        <w:rPr>
          <w:rFonts w:hint="eastAsia"/>
          <w:sz w:val="28"/>
          <w:szCs w:val="28"/>
        </w:rPr>
        <w:t>的工作内容经甲、乙、丙及主要</w:t>
      </w:r>
      <w:r>
        <w:rPr>
          <w:sz w:val="28"/>
          <w:szCs w:val="28"/>
        </w:rPr>
        <w:t>研究者</w:t>
      </w:r>
      <w:r>
        <w:rPr>
          <w:rFonts w:hint="eastAsia"/>
          <w:sz w:val="28"/>
          <w:szCs w:val="28"/>
        </w:rPr>
        <w:t>讨论并最终确认达成一致。丙方派遣的CRC负责协助乙方研究者完成受试者的访视、</w:t>
      </w:r>
      <w:r>
        <w:rPr>
          <w:sz w:val="28"/>
          <w:szCs w:val="28"/>
        </w:rPr>
        <w:t>EDC</w:t>
      </w:r>
      <w:r>
        <w:rPr>
          <w:rFonts w:hint="eastAsia"/>
          <w:sz w:val="28"/>
          <w:szCs w:val="28"/>
        </w:rPr>
        <w:t>录入、研究者文件夹的整理等本临床试验相关的工作，丙方必须遵照主要研究者的要求并在约定的服务范围内向乙方提供服务。</w:t>
      </w:r>
    </w:p>
    <w:p w14:paraId="6A813A15">
      <w:pPr>
        <w:spacing w:line="360" w:lineRule="auto"/>
        <w:rPr>
          <w:sz w:val="28"/>
          <w:szCs w:val="28"/>
        </w:rPr>
      </w:pPr>
      <w:r>
        <w:rPr>
          <w:rFonts w:hint="eastAsia"/>
          <w:sz w:val="28"/>
          <w:szCs w:val="28"/>
        </w:rPr>
        <w:t xml:space="preserve">1.2 </w:t>
      </w:r>
      <w:r>
        <w:rPr>
          <w:sz w:val="28"/>
          <w:szCs w:val="28"/>
        </w:rPr>
        <w:t>服务期限</w:t>
      </w:r>
      <w:r>
        <w:rPr>
          <w:rFonts w:hint="eastAsia"/>
          <w:sz w:val="28"/>
          <w:szCs w:val="28"/>
        </w:rPr>
        <w:t>为</w:t>
      </w:r>
      <w:r>
        <w:rPr>
          <w:sz w:val="28"/>
          <w:szCs w:val="28"/>
        </w:rPr>
        <w:t>从CRC</w:t>
      </w:r>
      <w:r>
        <w:rPr>
          <w:rFonts w:hint="eastAsia"/>
          <w:sz w:val="28"/>
          <w:szCs w:val="28"/>
        </w:rPr>
        <w:t>授权之日起</w:t>
      </w:r>
      <w:r>
        <w:rPr>
          <w:sz w:val="28"/>
          <w:szCs w:val="28"/>
        </w:rPr>
        <w:t>至完成所有受试者出组后，数据库锁定之日止。</w:t>
      </w:r>
    </w:p>
    <w:p w14:paraId="58CBE0FA">
      <w:pPr>
        <w:spacing w:line="360" w:lineRule="auto"/>
        <w:rPr>
          <w:b/>
          <w:sz w:val="28"/>
          <w:szCs w:val="28"/>
        </w:rPr>
      </w:pPr>
      <w:r>
        <w:rPr>
          <w:rFonts w:hint="eastAsia"/>
          <w:b/>
          <w:sz w:val="28"/>
          <w:szCs w:val="28"/>
        </w:rPr>
        <w:t>2、甲方的责任和义务</w:t>
      </w:r>
    </w:p>
    <w:p w14:paraId="781228E0">
      <w:pPr>
        <w:spacing w:line="360" w:lineRule="auto"/>
        <w:rPr>
          <w:color w:val="FF0000"/>
          <w:sz w:val="28"/>
          <w:szCs w:val="28"/>
        </w:rPr>
      </w:pPr>
      <w:r>
        <w:rPr>
          <w:sz w:val="28"/>
          <w:szCs w:val="28"/>
        </w:rPr>
        <w:t>2.1</w:t>
      </w:r>
      <w:r>
        <w:rPr>
          <w:rFonts w:hint="eastAsia"/>
          <w:sz w:val="28"/>
          <w:szCs w:val="28"/>
        </w:rPr>
        <w:t>甲方受乙方委托，甲方将</w:t>
      </w:r>
      <w:r>
        <w:rPr>
          <w:sz w:val="28"/>
          <w:szCs w:val="28"/>
        </w:rPr>
        <w:t>CRC</w:t>
      </w:r>
      <w:r>
        <w:rPr>
          <w:rFonts w:hint="eastAsia"/>
          <w:sz w:val="28"/>
          <w:szCs w:val="28"/>
        </w:rPr>
        <w:t>服务费直接支付至丙方帐户。</w:t>
      </w:r>
    </w:p>
    <w:p w14:paraId="63C78BD4">
      <w:pPr>
        <w:spacing w:line="360" w:lineRule="auto"/>
        <w:rPr>
          <w:sz w:val="28"/>
          <w:szCs w:val="28"/>
        </w:rPr>
      </w:pPr>
      <w:r>
        <w:rPr>
          <w:rFonts w:hint="eastAsia"/>
          <w:sz w:val="28"/>
          <w:szCs w:val="28"/>
        </w:rPr>
        <w:t>2.2定期了解临床研究进展情况，并协助丙方解决所遇到的问题。</w:t>
      </w:r>
    </w:p>
    <w:p w14:paraId="11960B89">
      <w:pPr>
        <w:spacing w:line="360" w:lineRule="auto"/>
        <w:rPr>
          <w:sz w:val="28"/>
          <w:szCs w:val="28"/>
        </w:rPr>
      </w:pPr>
      <w:r>
        <w:rPr>
          <w:sz w:val="28"/>
          <w:szCs w:val="28"/>
        </w:rPr>
        <w:t>2.</w:t>
      </w:r>
      <w:r>
        <w:rPr>
          <w:rFonts w:hint="eastAsia"/>
          <w:sz w:val="28"/>
          <w:szCs w:val="28"/>
        </w:rPr>
        <w:t>3在本协议开始执行后，除丙方原因外的任何原因导致甲方或乙方决定暂停或终止本临床试验，甲方除了在第一时间内通知丙方停止工作，还应向丙方支付为执行本协议实际已发生的费用。</w:t>
      </w:r>
    </w:p>
    <w:p w14:paraId="2097BC63">
      <w:pPr>
        <w:spacing w:line="360" w:lineRule="auto"/>
        <w:rPr>
          <w:sz w:val="28"/>
          <w:szCs w:val="28"/>
        </w:rPr>
      </w:pPr>
      <w:r>
        <w:rPr>
          <w:rFonts w:hint="eastAsia"/>
          <w:sz w:val="28"/>
          <w:szCs w:val="28"/>
        </w:rPr>
        <w:t>2.4</w:t>
      </w:r>
      <w:r>
        <w:rPr>
          <w:sz w:val="28"/>
          <w:szCs w:val="28"/>
        </w:rPr>
        <w:t xml:space="preserve"> </w:t>
      </w:r>
      <w:r>
        <w:rPr>
          <w:rFonts w:hint="eastAsia"/>
          <w:sz w:val="28"/>
          <w:szCs w:val="28"/>
        </w:rPr>
        <w:t xml:space="preserve">未经丙方同意，甲方不得向丙方的工作人员直接支付任何形式的酬劳。 </w:t>
      </w:r>
    </w:p>
    <w:p w14:paraId="733EA182">
      <w:pPr>
        <w:spacing w:line="360" w:lineRule="auto"/>
        <w:rPr>
          <w:sz w:val="28"/>
          <w:szCs w:val="28"/>
        </w:rPr>
      </w:pPr>
      <w:r>
        <w:rPr>
          <w:rFonts w:hint="eastAsia"/>
          <w:b/>
          <w:sz w:val="28"/>
          <w:szCs w:val="28"/>
        </w:rPr>
        <w:t>3、乙方的责任和义务</w:t>
      </w:r>
    </w:p>
    <w:p w14:paraId="667F651C">
      <w:pPr>
        <w:spacing w:line="360" w:lineRule="auto"/>
        <w:rPr>
          <w:sz w:val="28"/>
          <w:szCs w:val="28"/>
        </w:rPr>
      </w:pPr>
      <w:r>
        <w:rPr>
          <w:rFonts w:hint="eastAsia"/>
          <w:sz w:val="28"/>
          <w:szCs w:val="28"/>
        </w:rPr>
        <w:t>3.1乙</w:t>
      </w:r>
      <w:r>
        <w:rPr>
          <w:sz w:val="28"/>
          <w:szCs w:val="28"/>
        </w:rPr>
        <w:t>方为符合资质的国家药物临床试验机构，并履行</w:t>
      </w:r>
      <w:r>
        <w:rPr>
          <w:rFonts w:hint="eastAsia"/>
          <w:sz w:val="28"/>
          <w:szCs w:val="28"/>
        </w:rPr>
        <w:t>GCP中</w:t>
      </w:r>
      <w:r>
        <w:rPr>
          <w:sz w:val="28"/>
          <w:szCs w:val="28"/>
        </w:rPr>
        <w:t>规定的研究者</w:t>
      </w:r>
      <w:r>
        <w:rPr>
          <w:rFonts w:hint="eastAsia"/>
          <w:sz w:val="28"/>
          <w:szCs w:val="28"/>
        </w:rPr>
        <w:t>职</w:t>
      </w:r>
      <w:r>
        <w:rPr>
          <w:sz w:val="28"/>
          <w:szCs w:val="28"/>
        </w:rPr>
        <w:t>责。</w:t>
      </w:r>
    </w:p>
    <w:p w14:paraId="3330E550">
      <w:pPr>
        <w:spacing w:line="360" w:lineRule="auto"/>
        <w:rPr>
          <w:sz w:val="28"/>
          <w:szCs w:val="28"/>
        </w:rPr>
      </w:pPr>
      <w:r>
        <w:rPr>
          <w:rFonts w:hint="eastAsia"/>
          <w:sz w:val="28"/>
          <w:szCs w:val="28"/>
        </w:rPr>
        <w:t>3.2乙方承诺其已获得一切必要授权以签署本协议，并于此确认乙方签署本协议不违反、抵触其与第三方达成的任何协议，亦不违反其应该遵守的法律、法规、职业行为规范和职业道德准则以及其所隶属或服务的单位、机构或组织的内部政策或规定。</w:t>
      </w:r>
    </w:p>
    <w:p w14:paraId="3BBD9ECB">
      <w:pPr>
        <w:spacing w:line="360" w:lineRule="auto"/>
        <w:rPr>
          <w:sz w:val="28"/>
          <w:szCs w:val="28"/>
        </w:rPr>
      </w:pPr>
      <w:r>
        <w:rPr>
          <w:rFonts w:hint="eastAsia"/>
          <w:sz w:val="28"/>
          <w:szCs w:val="28"/>
        </w:rPr>
        <w:t>3.3 乙方有权要求丙方配备符合乙方资质要求的</w:t>
      </w:r>
      <w:r>
        <w:rPr>
          <w:sz w:val="28"/>
          <w:szCs w:val="28"/>
        </w:rPr>
        <w:t>CRC</w:t>
      </w:r>
      <w:r>
        <w:rPr>
          <w:rFonts w:hint="eastAsia"/>
          <w:sz w:val="28"/>
          <w:szCs w:val="28"/>
        </w:rPr>
        <w:t>。在试验期间，乙方有权监督和检查丙方的服务，如发现本试验的入选进度或试验质量问题与丙方提供的</w:t>
      </w:r>
      <w:r>
        <w:rPr>
          <w:sz w:val="28"/>
          <w:szCs w:val="28"/>
        </w:rPr>
        <w:t>CRC</w:t>
      </w:r>
      <w:r>
        <w:rPr>
          <w:rFonts w:hint="eastAsia"/>
          <w:sz w:val="28"/>
          <w:szCs w:val="28"/>
        </w:rPr>
        <w:t>有关，乙方在与甲方协商</w:t>
      </w:r>
      <w:r>
        <w:rPr>
          <w:sz w:val="28"/>
          <w:szCs w:val="28"/>
        </w:rPr>
        <w:t>后</w:t>
      </w:r>
      <w:r>
        <w:rPr>
          <w:rFonts w:hint="eastAsia"/>
          <w:sz w:val="28"/>
          <w:szCs w:val="28"/>
        </w:rPr>
        <w:t>有权要求丙方及时更换。</w:t>
      </w:r>
      <w:r>
        <w:rPr>
          <w:sz w:val="28"/>
          <w:szCs w:val="28"/>
        </w:rPr>
        <w:t xml:space="preserve"> </w:t>
      </w:r>
    </w:p>
    <w:p w14:paraId="7DC1B121">
      <w:pPr>
        <w:spacing w:line="360" w:lineRule="auto"/>
        <w:rPr>
          <w:sz w:val="28"/>
          <w:szCs w:val="28"/>
        </w:rPr>
      </w:pPr>
      <w:r>
        <w:rPr>
          <w:rFonts w:hint="eastAsia"/>
          <w:sz w:val="28"/>
          <w:szCs w:val="28"/>
        </w:rPr>
        <w:t>3.4乙方有权监督</w:t>
      </w:r>
      <w:r>
        <w:rPr>
          <w:sz w:val="28"/>
          <w:szCs w:val="28"/>
        </w:rPr>
        <w:t>CRC</w:t>
      </w:r>
      <w:r>
        <w:rPr>
          <w:rFonts w:hint="eastAsia"/>
          <w:sz w:val="28"/>
          <w:szCs w:val="28"/>
        </w:rPr>
        <w:t>所执行的授权工作在本院的工作人员的行为规范下进行。</w:t>
      </w:r>
    </w:p>
    <w:p w14:paraId="2618F7F6">
      <w:pPr>
        <w:spacing w:line="360" w:lineRule="auto"/>
        <w:rPr>
          <w:sz w:val="28"/>
          <w:szCs w:val="28"/>
        </w:rPr>
      </w:pPr>
      <w:r>
        <w:rPr>
          <w:rFonts w:hint="eastAsia"/>
          <w:sz w:val="28"/>
          <w:szCs w:val="28"/>
        </w:rPr>
        <w:t>3.5乙方应向丙方提供开展服务项目所必需的试验资料、材料和相关信息以推进本协议的顺利履行。</w:t>
      </w:r>
    </w:p>
    <w:p w14:paraId="2D5DC475">
      <w:pPr>
        <w:spacing w:line="360" w:lineRule="auto"/>
        <w:rPr>
          <w:sz w:val="28"/>
          <w:szCs w:val="28"/>
        </w:rPr>
      </w:pPr>
      <w:r>
        <w:rPr>
          <w:rFonts w:hint="eastAsia"/>
          <w:sz w:val="28"/>
          <w:szCs w:val="28"/>
        </w:rPr>
        <w:t>3.6乙</w:t>
      </w:r>
      <w:r>
        <w:rPr>
          <w:sz w:val="28"/>
          <w:szCs w:val="28"/>
        </w:rPr>
        <w:t>方为</w:t>
      </w:r>
      <w:r>
        <w:rPr>
          <w:rFonts w:hint="eastAsia"/>
          <w:sz w:val="28"/>
          <w:szCs w:val="28"/>
        </w:rPr>
        <w:t>CRC提供</w:t>
      </w:r>
      <w:r>
        <w:rPr>
          <w:sz w:val="28"/>
          <w:szCs w:val="28"/>
        </w:rPr>
        <w:t>相应的工作场所、硬件条件以及其他临床试验</w:t>
      </w:r>
      <w:r>
        <w:rPr>
          <w:rFonts w:hint="eastAsia"/>
          <w:sz w:val="28"/>
          <w:szCs w:val="28"/>
        </w:rPr>
        <w:t>所需的</w:t>
      </w:r>
      <w:r>
        <w:rPr>
          <w:sz w:val="28"/>
          <w:szCs w:val="28"/>
        </w:rPr>
        <w:t>必要便利。</w:t>
      </w:r>
    </w:p>
    <w:p w14:paraId="58CC3FEC">
      <w:pPr>
        <w:spacing w:line="360" w:lineRule="auto"/>
        <w:rPr>
          <w:sz w:val="28"/>
          <w:szCs w:val="28"/>
        </w:rPr>
      </w:pPr>
      <w:r>
        <w:rPr>
          <w:rFonts w:hint="eastAsia"/>
          <w:sz w:val="28"/>
          <w:szCs w:val="28"/>
        </w:rPr>
        <w:t>3.7 CRC进驻乙</w:t>
      </w:r>
      <w:r>
        <w:rPr>
          <w:sz w:val="28"/>
          <w:szCs w:val="28"/>
        </w:rPr>
        <w:t>方后，</w:t>
      </w:r>
      <w:r>
        <w:rPr>
          <w:rFonts w:hint="eastAsia"/>
          <w:sz w:val="28"/>
          <w:szCs w:val="28"/>
        </w:rPr>
        <w:t>乙</w:t>
      </w:r>
      <w:r>
        <w:rPr>
          <w:sz w:val="28"/>
          <w:szCs w:val="28"/>
        </w:rPr>
        <w:t>方</w:t>
      </w:r>
      <w:r>
        <w:rPr>
          <w:rFonts w:hint="eastAsia"/>
          <w:sz w:val="28"/>
          <w:szCs w:val="28"/>
        </w:rPr>
        <w:t>主要研究者</w:t>
      </w:r>
      <w:r>
        <w:rPr>
          <w:sz w:val="28"/>
          <w:szCs w:val="28"/>
        </w:rPr>
        <w:t>应对其工作进行</w:t>
      </w:r>
      <w:r>
        <w:rPr>
          <w:rFonts w:hint="eastAsia"/>
          <w:sz w:val="28"/>
          <w:szCs w:val="28"/>
        </w:rPr>
        <w:t>书面授权</w:t>
      </w:r>
      <w:r>
        <w:rPr>
          <w:sz w:val="28"/>
          <w:szCs w:val="28"/>
        </w:rPr>
        <w:t>。</w:t>
      </w:r>
    </w:p>
    <w:p w14:paraId="26E13EAA">
      <w:pPr>
        <w:spacing w:line="360" w:lineRule="auto"/>
        <w:rPr>
          <w:sz w:val="28"/>
          <w:szCs w:val="28"/>
        </w:rPr>
      </w:pPr>
      <w:r>
        <w:rPr>
          <w:rFonts w:hint="eastAsia"/>
          <w:sz w:val="28"/>
          <w:szCs w:val="28"/>
        </w:rPr>
        <w:t>3.8乙</w:t>
      </w:r>
      <w:r>
        <w:rPr>
          <w:sz w:val="28"/>
          <w:szCs w:val="28"/>
        </w:rPr>
        <w:t>方研究者对</w:t>
      </w:r>
      <w:r>
        <w:rPr>
          <w:rFonts w:hint="eastAsia"/>
          <w:sz w:val="28"/>
          <w:szCs w:val="28"/>
        </w:rPr>
        <w:t>CRC的</w:t>
      </w:r>
      <w:r>
        <w:rPr>
          <w:sz w:val="28"/>
          <w:szCs w:val="28"/>
        </w:rPr>
        <w:t>具体工作进行指导。</w:t>
      </w:r>
    </w:p>
    <w:p w14:paraId="384B4BAA">
      <w:pPr>
        <w:spacing w:line="360" w:lineRule="auto"/>
        <w:rPr>
          <w:b/>
          <w:sz w:val="28"/>
          <w:szCs w:val="28"/>
        </w:rPr>
      </w:pPr>
      <w:r>
        <w:rPr>
          <w:rFonts w:hint="eastAsia"/>
          <w:b/>
          <w:sz w:val="28"/>
          <w:szCs w:val="28"/>
        </w:rPr>
        <w:t>4、丙方的责任和义务</w:t>
      </w:r>
    </w:p>
    <w:p w14:paraId="07D870FF">
      <w:pPr>
        <w:spacing w:line="360" w:lineRule="auto"/>
        <w:rPr>
          <w:sz w:val="28"/>
          <w:szCs w:val="28"/>
        </w:rPr>
      </w:pPr>
      <w:r>
        <w:rPr>
          <w:rFonts w:hint="eastAsia"/>
          <w:sz w:val="28"/>
          <w:szCs w:val="28"/>
        </w:rPr>
        <w:t>4.1 丙方承诺其已获得一切必要授权以签署本协议，本协议与对其有约束力的其他协议或义务不互相冲突。丙方承诺其具有履行CRC 服务所必需的以及相关法律法规所要求的资质。丙方不因履行本协议而获得除收取本协议服务费外的任何与临床研究相关的利益（包括但不限于专利权、发表权等）。</w:t>
      </w:r>
    </w:p>
    <w:p w14:paraId="64D3F19C">
      <w:pPr>
        <w:spacing w:line="360" w:lineRule="auto"/>
        <w:rPr>
          <w:sz w:val="28"/>
          <w:szCs w:val="28"/>
        </w:rPr>
      </w:pPr>
      <w:r>
        <w:rPr>
          <w:rFonts w:hint="eastAsia"/>
          <w:sz w:val="28"/>
          <w:szCs w:val="28"/>
        </w:rPr>
        <w:t>4.2 丙方应保证在履行本协议过程中的所有行为均符合中国法律、法规和规章的规定，并遵守甲方相关合规性规定。丙方应保证遵守中国药品监督管理的相关法律法规（包括但不限于《药物临床试验质量管理规范》）的规定，按照临床研究方案及本协议的要求提供尽职、谨慎的服务，并遵循乙方及其主要研究者就 CRC服务事项对丙方提出的要求以及乙方已告知服务方的相关操作流程、规章制度和其他合理的书面指示。</w:t>
      </w:r>
    </w:p>
    <w:p w14:paraId="217FDD0B">
      <w:pPr>
        <w:spacing w:line="360" w:lineRule="auto"/>
        <w:rPr>
          <w:sz w:val="28"/>
          <w:szCs w:val="28"/>
        </w:rPr>
      </w:pPr>
      <w:r>
        <w:rPr>
          <w:rFonts w:hint="eastAsia"/>
          <w:sz w:val="28"/>
          <w:szCs w:val="28"/>
        </w:rPr>
        <w:t>4.</w:t>
      </w:r>
      <w:r>
        <w:rPr>
          <w:sz w:val="28"/>
          <w:szCs w:val="28"/>
        </w:rPr>
        <w:t>3</w:t>
      </w:r>
      <w:r>
        <w:rPr>
          <w:rFonts w:hint="eastAsia"/>
          <w:sz w:val="28"/>
          <w:szCs w:val="28"/>
        </w:rPr>
        <w:t>在乙方按照本协议履行其义务的前提下，丙方的</w:t>
      </w:r>
      <w:r>
        <w:rPr>
          <w:sz w:val="28"/>
          <w:szCs w:val="28"/>
        </w:rPr>
        <w:t>CRC</w:t>
      </w:r>
      <w:r>
        <w:rPr>
          <w:rFonts w:hint="eastAsia"/>
          <w:sz w:val="28"/>
          <w:szCs w:val="28"/>
        </w:rPr>
        <w:t>应严格按照《药品注册管理办法》、《药物临床试验质量管理规范》（</w:t>
      </w:r>
      <w:r>
        <w:rPr>
          <w:sz w:val="28"/>
          <w:szCs w:val="28"/>
        </w:rPr>
        <w:t>GCP</w:t>
      </w:r>
      <w:r>
        <w:rPr>
          <w:rFonts w:hint="eastAsia"/>
          <w:sz w:val="28"/>
          <w:szCs w:val="28"/>
        </w:rPr>
        <w:t>）、临床试验方案</w:t>
      </w:r>
      <w:r>
        <w:rPr>
          <w:sz w:val="28"/>
          <w:szCs w:val="28"/>
        </w:rPr>
        <w:t>及其他</w:t>
      </w:r>
      <w:r>
        <w:rPr>
          <w:rFonts w:hint="eastAsia"/>
          <w:sz w:val="28"/>
          <w:szCs w:val="28"/>
        </w:rPr>
        <w:t>相关标准操作规范等开展工作，并在研究者的指导下进行工作，积极有效的协助研究者。</w:t>
      </w:r>
    </w:p>
    <w:p w14:paraId="6DA7FD1C">
      <w:pPr>
        <w:spacing w:line="360" w:lineRule="auto"/>
        <w:rPr>
          <w:sz w:val="28"/>
          <w:szCs w:val="28"/>
        </w:rPr>
      </w:pPr>
      <w:r>
        <w:rPr>
          <w:rFonts w:hint="eastAsia"/>
          <w:sz w:val="28"/>
          <w:szCs w:val="28"/>
        </w:rPr>
        <w:t>4.</w:t>
      </w:r>
      <w:r>
        <w:rPr>
          <w:sz w:val="28"/>
          <w:szCs w:val="28"/>
        </w:rPr>
        <w:t>4</w:t>
      </w:r>
      <w:r>
        <w:rPr>
          <w:rFonts w:hint="eastAsia"/>
          <w:sz w:val="28"/>
          <w:szCs w:val="28"/>
        </w:rPr>
        <w:t xml:space="preserve"> 丙方负责提供CRC的技能培训（如</w:t>
      </w:r>
      <w:r>
        <w:rPr>
          <w:sz w:val="28"/>
          <w:szCs w:val="28"/>
        </w:rPr>
        <w:t>GCP</w:t>
      </w:r>
      <w:r>
        <w:rPr>
          <w:rFonts w:hint="eastAsia"/>
          <w:sz w:val="28"/>
          <w:szCs w:val="28"/>
        </w:rPr>
        <w:t>、临床试验流程等）。</w:t>
      </w:r>
    </w:p>
    <w:p w14:paraId="5CA15BD3">
      <w:pPr>
        <w:spacing w:line="360" w:lineRule="auto"/>
        <w:rPr>
          <w:sz w:val="28"/>
          <w:szCs w:val="28"/>
        </w:rPr>
      </w:pPr>
      <w:r>
        <w:rPr>
          <w:rFonts w:hint="eastAsia"/>
          <w:sz w:val="28"/>
          <w:szCs w:val="28"/>
        </w:rPr>
        <w:t>4.</w:t>
      </w:r>
      <w:r>
        <w:rPr>
          <w:sz w:val="28"/>
          <w:szCs w:val="28"/>
        </w:rPr>
        <w:t>5 CRC</w:t>
      </w:r>
      <w:r>
        <w:rPr>
          <w:rFonts w:hint="eastAsia"/>
          <w:sz w:val="28"/>
          <w:szCs w:val="28"/>
        </w:rPr>
        <w:t>应在主要研究者授权范围内工作，</w:t>
      </w:r>
      <w:r>
        <w:rPr>
          <w:sz w:val="28"/>
          <w:szCs w:val="28"/>
        </w:rPr>
        <w:t>CRC</w:t>
      </w:r>
      <w:r>
        <w:rPr>
          <w:rFonts w:hint="eastAsia"/>
          <w:sz w:val="28"/>
          <w:szCs w:val="28"/>
        </w:rPr>
        <w:t>的工作质量由丙方负责。</w:t>
      </w:r>
    </w:p>
    <w:p w14:paraId="1A7712BB">
      <w:pPr>
        <w:spacing w:line="360" w:lineRule="auto"/>
        <w:rPr>
          <w:sz w:val="28"/>
          <w:szCs w:val="28"/>
        </w:rPr>
      </w:pPr>
      <w:r>
        <w:rPr>
          <w:rFonts w:hint="eastAsia"/>
          <w:sz w:val="28"/>
          <w:szCs w:val="28"/>
        </w:rPr>
        <w:t>4.</w:t>
      </w:r>
      <w:r>
        <w:rPr>
          <w:sz w:val="28"/>
          <w:szCs w:val="28"/>
        </w:rPr>
        <w:t>6</w:t>
      </w:r>
      <w:r>
        <w:rPr>
          <w:rFonts w:hint="eastAsia"/>
          <w:sz w:val="28"/>
          <w:szCs w:val="28"/>
        </w:rPr>
        <w:t xml:space="preserve"> 丙方应保留能证明其遵守本协议规定的记录及相关支持文件，并在乙方要求时向乙方提供该记录及相关支持文件。</w:t>
      </w:r>
    </w:p>
    <w:p w14:paraId="0AD7CAE3">
      <w:pPr>
        <w:spacing w:line="360" w:lineRule="auto"/>
        <w:rPr>
          <w:sz w:val="28"/>
          <w:szCs w:val="28"/>
        </w:rPr>
      </w:pPr>
      <w:r>
        <w:rPr>
          <w:rFonts w:hint="eastAsia"/>
          <w:sz w:val="28"/>
          <w:szCs w:val="28"/>
        </w:rPr>
        <w:t>4.</w:t>
      </w:r>
      <w:r>
        <w:rPr>
          <w:sz w:val="28"/>
          <w:szCs w:val="28"/>
        </w:rPr>
        <w:t>7</w:t>
      </w:r>
      <w:r>
        <w:rPr>
          <w:rFonts w:hint="eastAsia"/>
          <w:sz w:val="28"/>
          <w:szCs w:val="28"/>
        </w:rPr>
        <w:t xml:space="preserve"> 丙方在提供 CRC服务过程中，如接触到病患健康信息、医疗信息和其他个人信息，必须严格依照主要研究者的指示，并遵循相关法律法规及本协议中关于个人隐私保护的规定以及乙方对于病患隐私保护的相关规定。丙方不得以任何方式披露任何病患健康信息、医疗信息或其他个人信息。</w:t>
      </w:r>
    </w:p>
    <w:p w14:paraId="2231A8FF">
      <w:pPr>
        <w:spacing w:line="360" w:lineRule="auto"/>
        <w:rPr>
          <w:sz w:val="28"/>
          <w:szCs w:val="28"/>
        </w:rPr>
      </w:pPr>
      <w:r>
        <w:rPr>
          <w:rFonts w:hint="eastAsia"/>
          <w:sz w:val="28"/>
          <w:szCs w:val="28"/>
        </w:rPr>
        <w:t>4.</w:t>
      </w:r>
      <w:r>
        <w:rPr>
          <w:sz w:val="28"/>
          <w:szCs w:val="28"/>
        </w:rPr>
        <w:t>8</w:t>
      </w:r>
      <w:r>
        <w:rPr>
          <w:rFonts w:hint="eastAsia"/>
          <w:sz w:val="28"/>
          <w:szCs w:val="28"/>
        </w:rPr>
        <w:t xml:space="preserve"> 丙方在项目进展过程中, 应当对乙方的监督和检查给予积极配合。</w:t>
      </w:r>
    </w:p>
    <w:p w14:paraId="35151036">
      <w:pPr>
        <w:spacing w:line="360" w:lineRule="auto"/>
        <w:rPr>
          <w:sz w:val="28"/>
          <w:szCs w:val="28"/>
        </w:rPr>
      </w:pPr>
      <w:r>
        <w:rPr>
          <w:rFonts w:hint="eastAsia"/>
          <w:sz w:val="28"/>
          <w:szCs w:val="28"/>
        </w:rPr>
        <w:t>4.</w:t>
      </w:r>
      <w:r>
        <w:rPr>
          <w:sz w:val="28"/>
          <w:szCs w:val="28"/>
        </w:rPr>
        <w:t>9</w:t>
      </w:r>
      <w:r>
        <w:rPr>
          <w:rFonts w:hint="eastAsia"/>
          <w:sz w:val="28"/>
          <w:szCs w:val="28"/>
        </w:rPr>
        <w:t xml:space="preserve"> 丙方应在规定时间内提供符合乙方和甲方要求的</w:t>
      </w:r>
      <w:r>
        <w:rPr>
          <w:sz w:val="28"/>
          <w:szCs w:val="28"/>
        </w:rPr>
        <w:t>CRC</w:t>
      </w:r>
      <w:r>
        <w:rPr>
          <w:rFonts w:hint="eastAsia"/>
          <w:sz w:val="28"/>
          <w:szCs w:val="28"/>
        </w:rPr>
        <w:t>。</w:t>
      </w:r>
    </w:p>
    <w:p w14:paraId="63DDE111">
      <w:pPr>
        <w:spacing w:line="360" w:lineRule="auto"/>
        <w:rPr>
          <w:sz w:val="28"/>
          <w:szCs w:val="28"/>
        </w:rPr>
      </w:pPr>
      <w:r>
        <w:rPr>
          <w:rFonts w:hint="eastAsia"/>
          <w:sz w:val="28"/>
          <w:szCs w:val="28"/>
        </w:rPr>
        <w:t>4.10</w:t>
      </w:r>
      <w:r>
        <w:rPr>
          <w:sz w:val="28"/>
          <w:szCs w:val="28"/>
        </w:rPr>
        <w:t>丙方应定期向乙方汇报CRC服务项目的进展，如丙方知悉发生重大事件（包括但不限于国家相关政策做出重大调整、发生不良事件、项目进度明显滞后），应在24小时内与乙方</w:t>
      </w:r>
      <w:r>
        <w:rPr>
          <w:rFonts w:hint="eastAsia"/>
          <w:sz w:val="28"/>
          <w:szCs w:val="28"/>
        </w:rPr>
        <w:t>现场</w:t>
      </w:r>
      <w:r>
        <w:rPr>
          <w:sz w:val="28"/>
          <w:szCs w:val="28"/>
        </w:rPr>
        <w:t>沟通，并积极采取措施，减少给临床研究带来的影响及损失。</w:t>
      </w:r>
    </w:p>
    <w:p w14:paraId="029E1E5B">
      <w:pPr>
        <w:spacing w:line="360" w:lineRule="auto"/>
        <w:rPr>
          <w:sz w:val="28"/>
          <w:szCs w:val="28"/>
        </w:rPr>
      </w:pPr>
      <w:r>
        <w:rPr>
          <w:rFonts w:hint="eastAsia"/>
          <w:sz w:val="28"/>
          <w:szCs w:val="28"/>
        </w:rPr>
        <w:t>4.11</w:t>
      </w:r>
      <w:r>
        <w:rPr>
          <w:sz w:val="28"/>
          <w:szCs w:val="28"/>
        </w:rPr>
        <w:t>在本协议履行期限内，如丙方提供的服务人员不能胜任 CRC服务，</w:t>
      </w:r>
      <w:r>
        <w:rPr>
          <w:rFonts w:hint="eastAsia"/>
          <w:sz w:val="28"/>
          <w:szCs w:val="28"/>
        </w:rPr>
        <w:t>甲方、</w:t>
      </w:r>
      <w:r>
        <w:rPr>
          <w:sz w:val="28"/>
          <w:szCs w:val="28"/>
        </w:rPr>
        <w:t>乙方有权要求更换服务人员，并至少提前一个月通知丙方。丙方有义务在一个月的时间内提供新的候选人直至选拔到合格人选。</w:t>
      </w:r>
    </w:p>
    <w:p w14:paraId="443CDECB">
      <w:pPr>
        <w:spacing w:line="360" w:lineRule="auto"/>
        <w:rPr>
          <w:b/>
          <w:sz w:val="28"/>
          <w:szCs w:val="28"/>
        </w:rPr>
      </w:pPr>
      <w:r>
        <w:rPr>
          <w:b/>
          <w:sz w:val="28"/>
          <w:szCs w:val="28"/>
        </w:rPr>
        <w:t>5</w:t>
      </w:r>
      <w:r>
        <w:rPr>
          <w:rFonts w:hint="eastAsia"/>
          <w:b/>
          <w:sz w:val="28"/>
          <w:szCs w:val="28"/>
        </w:rPr>
        <w:t>、</w:t>
      </w:r>
      <w:r>
        <w:rPr>
          <w:b/>
          <w:sz w:val="28"/>
          <w:szCs w:val="28"/>
        </w:rPr>
        <w:t>数据</w:t>
      </w:r>
      <w:r>
        <w:rPr>
          <w:rFonts w:hint="eastAsia"/>
          <w:b/>
          <w:sz w:val="28"/>
          <w:szCs w:val="28"/>
        </w:rPr>
        <w:t>的所有权</w:t>
      </w:r>
    </w:p>
    <w:p w14:paraId="653DFAF8">
      <w:pPr>
        <w:spacing w:line="360" w:lineRule="auto"/>
        <w:ind w:firstLine="560" w:firstLineChars="200"/>
        <w:rPr>
          <w:sz w:val="28"/>
          <w:szCs w:val="28"/>
        </w:rPr>
      </w:pPr>
      <w:r>
        <w:rPr>
          <w:rFonts w:hint="eastAsia"/>
          <w:sz w:val="28"/>
          <w:szCs w:val="28"/>
        </w:rPr>
        <w:t>所有由甲方提供给乙方的数据、文档和信息，或由甲方提供给乙方并由乙方提供给丙方的数据、文档和信息，以及乙方和丙方在临床研究期间获得的所有病例报告表和其他项目资料（包括但不限于书面的、打印的、图片的、多媒体材料和计算机数据库或计算机可阅读形式中包含的信息），其所有权和知识产权只属于甲方/申办方。</w:t>
      </w:r>
    </w:p>
    <w:p w14:paraId="3386C789">
      <w:pPr>
        <w:spacing w:line="360" w:lineRule="auto"/>
        <w:rPr>
          <w:b/>
          <w:sz w:val="28"/>
          <w:szCs w:val="28"/>
        </w:rPr>
      </w:pPr>
      <w:r>
        <w:rPr>
          <w:b/>
          <w:sz w:val="28"/>
          <w:szCs w:val="28"/>
        </w:rPr>
        <w:t>6</w:t>
      </w:r>
      <w:r>
        <w:rPr>
          <w:rFonts w:hint="eastAsia"/>
          <w:b/>
          <w:sz w:val="28"/>
          <w:szCs w:val="28"/>
        </w:rPr>
        <w:t>、保密义务</w:t>
      </w:r>
    </w:p>
    <w:p w14:paraId="6BB73DE4">
      <w:pPr>
        <w:spacing w:line="360" w:lineRule="auto"/>
        <w:ind w:firstLine="560" w:firstLineChars="200"/>
        <w:rPr>
          <w:sz w:val="28"/>
          <w:szCs w:val="28"/>
        </w:rPr>
      </w:pPr>
      <w:r>
        <w:rPr>
          <w:rFonts w:hint="eastAsia"/>
          <w:sz w:val="28"/>
          <w:szCs w:val="28"/>
        </w:rPr>
        <w:t>未经一方事先书面同意，其他方不得将本协议的内容、为起草本协议而交换的信息以及在履行本协议过程中知悉、获得或者产生的任何数据、文档、信息和报告（“保密信息”）透露、或转让给任何协议以外的第三方或许可任何协议以外的第三方透露、使用或转让。本协议终止后，本条规定的保密义务应继续有效。如果违反本条规定，应承担由此给其他方造成的所有损失。尽管有前述规定，协议各方仍可向其人员透露保密信息，但这种透露应当是协议各方为履行其在本协议下的义务所必需的，并且应使上述人员同意承担与本协议中所包含的保密义务同样或更严格的保密义务。协议各方的人员所造成的任何保密信息的泄漏应视为其所属的协议方泄密，应由该协议方承担责任。</w:t>
      </w:r>
    </w:p>
    <w:p w14:paraId="5BE32EA6">
      <w:pPr>
        <w:spacing w:line="360" w:lineRule="auto"/>
        <w:rPr>
          <w:b/>
          <w:sz w:val="28"/>
          <w:szCs w:val="28"/>
        </w:rPr>
      </w:pPr>
      <w:r>
        <w:rPr>
          <w:b/>
          <w:sz w:val="28"/>
          <w:szCs w:val="28"/>
        </w:rPr>
        <w:t>7</w:t>
      </w:r>
      <w:r>
        <w:rPr>
          <w:rFonts w:hint="eastAsia"/>
          <w:b/>
          <w:sz w:val="28"/>
          <w:szCs w:val="28"/>
        </w:rPr>
        <w:t>、争议的解决</w:t>
      </w:r>
    </w:p>
    <w:p w14:paraId="4C778800">
      <w:pPr>
        <w:spacing w:line="360" w:lineRule="auto"/>
        <w:ind w:firstLine="560" w:firstLineChars="200"/>
        <w:rPr>
          <w:sz w:val="28"/>
          <w:szCs w:val="28"/>
        </w:rPr>
      </w:pPr>
      <w:r>
        <w:rPr>
          <w:rFonts w:hint="eastAsia"/>
          <w:sz w:val="28"/>
          <w:szCs w:val="28"/>
        </w:rPr>
        <w:t>各方就本协议项下条款的解释和履行发生争议时，各方应首先通过友好协商解决该争议。如果协商不成，任何一方均有权将有关争议向乙方</w:t>
      </w:r>
      <w:r>
        <w:rPr>
          <w:sz w:val="28"/>
          <w:szCs w:val="28"/>
        </w:rPr>
        <w:t>所在地法院提起诉讼</w:t>
      </w:r>
      <w:r>
        <w:rPr>
          <w:rFonts w:hint="eastAsia"/>
          <w:sz w:val="28"/>
          <w:szCs w:val="28"/>
        </w:rPr>
        <w:t>，诉讼语言为中文</w:t>
      </w:r>
      <w:r>
        <w:rPr>
          <w:sz w:val="28"/>
          <w:szCs w:val="28"/>
        </w:rPr>
        <w:t>。</w:t>
      </w:r>
    </w:p>
    <w:p w14:paraId="7F12993E">
      <w:pPr>
        <w:spacing w:line="360" w:lineRule="auto"/>
        <w:rPr>
          <w:b/>
          <w:sz w:val="28"/>
          <w:szCs w:val="28"/>
        </w:rPr>
      </w:pPr>
      <w:r>
        <w:rPr>
          <w:b/>
          <w:sz w:val="28"/>
          <w:szCs w:val="28"/>
        </w:rPr>
        <w:t>8</w:t>
      </w:r>
      <w:r>
        <w:rPr>
          <w:rFonts w:hint="eastAsia"/>
          <w:b/>
          <w:sz w:val="28"/>
          <w:szCs w:val="28"/>
        </w:rPr>
        <w:t>、其他</w:t>
      </w:r>
    </w:p>
    <w:p w14:paraId="2775E9EE">
      <w:pPr>
        <w:spacing w:line="360" w:lineRule="auto"/>
        <w:rPr>
          <w:sz w:val="28"/>
          <w:szCs w:val="28"/>
        </w:rPr>
      </w:pPr>
      <w:r>
        <w:rPr>
          <w:sz w:val="28"/>
          <w:szCs w:val="28"/>
        </w:rPr>
        <w:t>8</w:t>
      </w:r>
      <w:r>
        <w:rPr>
          <w:rFonts w:hint="eastAsia"/>
          <w:sz w:val="28"/>
          <w:szCs w:val="28"/>
        </w:rPr>
        <w:t>.1 未经甲乙双方事先书面同意，丙方不得将其在本协议项下的权利或义务转包或分包给任何第三方。</w:t>
      </w:r>
    </w:p>
    <w:p w14:paraId="66D2049B">
      <w:pPr>
        <w:spacing w:line="360" w:lineRule="auto"/>
        <w:rPr>
          <w:sz w:val="28"/>
          <w:szCs w:val="28"/>
        </w:rPr>
      </w:pPr>
      <w:r>
        <w:rPr>
          <w:sz w:val="28"/>
          <w:szCs w:val="28"/>
        </w:rPr>
        <w:t>8</w:t>
      </w:r>
      <w:r>
        <w:rPr>
          <w:rFonts w:hint="eastAsia"/>
          <w:sz w:val="28"/>
          <w:szCs w:val="28"/>
        </w:rPr>
        <w:t>.2 丙方依据本协议向乙方提供服务的人员将始终是丙方的雇员，丙方应自行负责该雇员的工资、福利及社会保险等一切事宜，并应由丙方承担作为用人单位的所有责任和义务。</w:t>
      </w:r>
    </w:p>
    <w:p w14:paraId="62A4E710">
      <w:pPr>
        <w:spacing w:line="360" w:lineRule="auto"/>
        <w:rPr>
          <w:sz w:val="28"/>
          <w:szCs w:val="28"/>
        </w:rPr>
      </w:pPr>
      <w:r>
        <w:rPr>
          <w:sz w:val="28"/>
          <w:szCs w:val="28"/>
        </w:rPr>
        <w:t>8</w:t>
      </w:r>
      <w:r>
        <w:rPr>
          <w:rFonts w:hint="eastAsia"/>
          <w:sz w:val="28"/>
          <w:szCs w:val="28"/>
        </w:rPr>
        <w:t>.3任何</w:t>
      </w:r>
      <w:r>
        <w:rPr>
          <w:sz w:val="28"/>
          <w:szCs w:val="28"/>
        </w:rPr>
        <w:t>一方不得</w:t>
      </w:r>
      <w:r>
        <w:rPr>
          <w:rFonts w:hint="eastAsia"/>
          <w:sz w:val="28"/>
          <w:szCs w:val="28"/>
        </w:rPr>
        <w:t>擅自</w:t>
      </w:r>
      <w:r>
        <w:rPr>
          <w:sz w:val="28"/>
          <w:szCs w:val="28"/>
        </w:rPr>
        <w:t>更改</w:t>
      </w:r>
      <w:r>
        <w:rPr>
          <w:rFonts w:hint="eastAsia"/>
          <w:sz w:val="28"/>
          <w:szCs w:val="28"/>
        </w:rPr>
        <w:t>协议。</w:t>
      </w:r>
      <w:r>
        <w:rPr>
          <w:sz w:val="28"/>
          <w:szCs w:val="28"/>
        </w:rPr>
        <w:t>若</w:t>
      </w:r>
      <w:r>
        <w:rPr>
          <w:rFonts w:hint="eastAsia"/>
          <w:sz w:val="28"/>
          <w:szCs w:val="28"/>
        </w:rPr>
        <w:t>确需</w:t>
      </w:r>
      <w:r>
        <w:rPr>
          <w:sz w:val="28"/>
          <w:szCs w:val="28"/>
        </w:rPr>
        <w:t>更改，需征得</w:t>
      </w:r>
      <w:r>
        <w:rPr>
          <w:rFonts w:hint="eastAsia"/>
          <w:sz w:val="28"/>
          <w:szCs w:val="28"/>
        </w:rPr>
        <w:t>三</w:t>
      </w:r>
      <w:r>
        <w:rPr>
          <w:sz w:val="28"/>
          <w:szCs w:val="28"/>
        </w:rPr>
        <w:t>方</w:t>
      </w:r>
      <w:r>
        <w:rPr>
          <w:rFonts w:hint="eastAsia"/>
          <w:sz w:val="28"/>
          <w:szCs w:val="28"/>
        </w:rPr>
        <w:t>书面</w:t>
      </w:r>
      <w:r>
        <w:rPr>
          <w:sz w:val="28"/>
          <w:szCs w:val="28"/>
        </w:rPr>
        <w:t>同意。</w:t>
      </w:r>
    </w:p>
    <w:p w14:paraId="64DB4A01">
      <w:pPr>
        <w:spacing w:line="360" w:lineRule="auto"/>
        <w:rPr>
          <w:sz w:val="28"/>
          <w:szCs w:val="28"/>
        </w:rPr>
      </w:pPr>
      <w:r>
        <w:rPr>
          <w:sz w:val="28"/>
          <w:szCs w:val="28"/>
        </w:rPr>
        <w:t>8.4</w:t>
      </w:r>
      <w:r>
        <w:rPr>
          <w:rFonts w:hint="eastAsia"/>
          <w:sz w:val="28"/>
          <w:szCs w:val="28"/>
        </w:rPr>
        <w:t>本协议附件与本协议正文具有同等法律效力。</w:t>
      </w:r>
    </w:p>
    <w:p w14:paraId="2A0053DE">
      <w:pPr>
        <w:spacing w:line="360" w:lineRule="auto"/>
        <w:rPr>
          <w:sz w:val="28"/>
          <w:szCs w:val="28"/>
        </w:rPr>
      </w:pPr>
      <w:r>
        <w:rPr>
          <w:sz w:val="28"/>
          <w:szCs w:val="28"/>
        </w:rPr>
        <w:t>8</w:t>
      </w:r>
      <w:r>
        <w:rPr>
          <w:rFonts w:hint="eastAsia"/>
          <w:sz w:val="28"/>
          <w:szCs w:val="28"/>
        </w:rPr>
        <w:t>.</w:t>
      </w:r>
      <w:r>
        <w:rPr>
          <w:sz w:val="28"/>
          <w:szCs w:val="28"/>
        </w:rPr>
        <w:t>5</w:t>
      </w:r>
      <w:r>
        <w:rPr>
          <w:rFonts w:hint="eastAsia"/>
          <w:sz w:val="28"/>
          <w:szCs w:val="28"/>
        </w:rPr>
        <w:t>本协议一式陆份，甲方、乙方及丙方各执贰份，具有同等法律效力。</w:t>
      </w:r>
    </w:p>
    <w:p w14:paraId="6B24B225">
      <w:pPr>
        <w:spacing w:line="360" w:lineRule="auto"/>
        <w:rPr>
          <w:sz w:val="28"/>
          <w:szCs w:val="28"/>
        </w:rPr>
        <w:sectPr>
          <w:headerReference r:id="rId5" w:type="default"/>
          <w:footerReference r:id="rId6" w:type="default"/>
          <w:pgSz w:w="11906" w:h="16838"/>
          <w:pgMar w:top="1418" w:right="1274" w:bottom="1134" w:left="1701" w:header="851" w:footer="992" w:gutter="0"/>
          <w:cols w:space="425" w:num="1"/>
          <w:docGrid w:type="lines" w:linePitch="312" w:charSpace="0"/>
        </w:sectPr>
      </w:pPr>
      <w:r>
        <w:rPr>
          <w:rFonts w:hint="eastAsia"/>
          <w:b/>
          <w:sz w:val="24"/>
          <w:szCs w:val="24"/>
        </w:rPr>
        <w:t>-------</w:t>
      </w:r>
      <w:r>
        <w:rPr>
          <w:rFonts w:hint="eastAsia"/>
          <w:sz w:val="28"/>
          <w:szCs w:val="28"/>
        </w:rPr>
        <w:t>以下</w:t>
      </w:r>
      <w:r>
        <w:rPr>
          <w:sz w:val="28"/>
          <w:szCs w:val="28"/>
        </w:rPr>
        <w:t>无正文</w:t>
      </w:r>
      <w:r>
        <w:rPr>
          <w:rFonts w:hint="eastAsia"/>
          <w:sz w:val="28"/>
          <w:szCs w:val="28"/>
        </w:rPr>
        <w:t>内容</w:t>
      </w:r>
      <w:r>
        <w:rPr>
          <w:rFonts w:hint="eastAsia"/>
          <w:b/>
          <w:sz w:val="24"/>
          <w:szCs w:val="24"/>
        </w:rPr>
        <w:t>-------</w:t>
      </w:r>
    </w:p>
    <w:p w14:paraId="6115000E">
      <w:pPr>
        <w:spacing w:line="360" w:lineRule="auto"/>
        <w:jc w:val="center"/>
        <w:rPr>
          <w:sz w:val="28"/>
          <w:szCs w:val="28"/>
        </w:rPr>
      </w:pPr>
    </w:p>
    <w:p w14:paraId="5AD24813">
      <w:pPr>
        <w:spacing w:line="360" w:lineRule="auto"/>
        <w:jc w:val="center"/>
        <w:rPr>
          <w:sz w:val="28"/>
          <w:szCs w:val="28"/>
        </w:rPr>
      </w:pPr>
      <w:commentRangeStart w:id="2"/>
      <w:r>
        <w:rPr>
          <w:rFonts w:hint="eastAsia"/>
          <w:sz w:val="28"/>
          <w:szCs w:val="28"/>
        </w:rPr>
        <w:t>【</w:t>
      </w:r>
      <w:r>
        <w:rPr>
          <w:rFonts w:hint="eastAsia"/>
          <w:b/>
          <w:sz w:val="28"/>
          <w:szCs w:val="28"/>
        </w:rPr>
        <w:t>签署页</w:t>
      </w:r>
      <w:r>
        <w:rPr>
          <w:rFonts w:hint="eastAsia"/>
          <w:sz w:val="28"/>
          <w:szCs w:val="28"/>
        </w:rPr>
        <w:t>】</w:t>
      </w:r>
      <w:commentRangeEnd w:id="2"/>
      <w:r>
        <w:commentReference w:id="2"/>
      </w:r>
    </w:p>
    <w:p w14:paraId="7D205F60">
      <w:pPr>
        <w:spacing w:line="360" w:lineRule="auto"/>
        <w:jc w:val="center"/>
        <w:rPr>
          <w:sz w:val="28"/>
          <w:szCs w:val="28"/>
        </w:rPr>
      </w:pPr>
    </w:p>
    <w:p w14:paraId="3B5F575D">
      <w:pPr>
        <w:spacing w:line="360" w:lineRule="auto"/>
        <w:jc w:val="center"/>
        <w:rPr>
          <w:sz w:val="28"/>
          <w:szCs w:val="28"/>
        </w:rPr>
      </w:pPr>
    </w:p>
    <w:tbl>
      <w:tblPr>
        <w:tblStyle w:val="15"/>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4"/>
        <w:gridCol w:w="2805"/>
        <w:gridCol w:w="19"/>
        <w:gridCol w:w="12"/>
        <w:gridCol w:w="1241"/>
        <w:gridCol w:w="19"/>
        <w:gridCol w:w="2048"/>
      </w:tblGrid>
      <w:tr w14:paraId="7415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08" w:type="dxa"/>
            <w:gridSpan w:val="7"/>
            <w:vAlign w:val="center"/>
          </w:tcPr>
          <w:p w14:paraId="720EEB37">
            <w:pPr>
              <w:spacing w:line="360" w:lineRule="auto"/>
              <w:rPr>
                <w:rFonts w:asciiTheme="minorEastAsia" w:hAnsiTheme="minorEastAsia" w:eastAsiaTheme="minorEastAsia"/>
                <w:b/>
                <w:sz w:val="28"/>
              </w:rPr>
            </w:pPr>
            <w:r>
              <w:rPr>
                <w:rFonts w:hint="eastAsia" w:asciiTheme="minorEastAsia" w:hAnsiTheme="minorEastAsia" w:eastAsiaTheme="minorEastAsia"/>
                <w:b/>
                <w:sz w:val="28"/>
              </w:rPr>
              <w:t>甲方</w:t>
            </w:r>
          </w:p>
        </w:tc>
      </w:tr>
      <w:tr w14:paraId="6EDC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64" w:type="dxa"/>
            <w:vAlign w:val="center"/>
          </w:tcPr>
          <w:p w14:paraId="4D3EC5AC">
            <w:pPr>
              <w:spacing w:line="360" w:lineRule="auto"/>
              <w:rPr>
                <w:rFonts w:asciiTheme="minorEastAsia" w:hAnsiTheme="minorEastAsia" w:eastAsiaTheme="minorEastAsia"/>
                <w:sz w:val="28"/>
              </w:rPr>
            </w:pPr>
            <w:r>
              <w:rPr>
                <w:rFonts w:hint="eastAsia" w:asciiTheme="minorEastAsia" w:hAnsiTheme="minorEastAsia" w:eastAsiaTheme="minorEastAsia"/>
                <w:sz w:val="28"/>
              </w:rPr>
              <w:t>单位名称（签章）</w:t>
            </w:r>
          </w:p>
        </w:tc>
        <w:tc>
          <w:tcPr>
            <w:tcW w:w="6144" w:type="dxa"/>
            <w:gridSpan w:val="6"/>
            <w:vAlign w:val="center"/>
          </w:tcPr>
          <w:p w14:paraId="280B1837">
            <w:pPr>
              <w:spacing w:line="360" w:lineRule="auto"/>
              <w:rPr>
                <w:rFonts w:asciiTheme="minorEastAsia" w:hAnsiTheme="minorEastAsia" w:eastAsiaTheme="minorEastAsia"/>
                <w:sz w:val="28"/>
              </w:rPr>
            </w:pPr>
          </w:p>
        </w:tc>
      </w:tr>
      <w:tr w14:paraId="7093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64" w:type="dxa"/>
            <w:vAlign w:val="center"/>
          </w:tcPr>
          <w:p w14:paraId="17F25F12">
            <w:pPr>
              <w:spacing w:line="360" w:lineRule="auto"/>
              <w:rPr>
                <w:rFonts w:asciiTheme="minorEastAsia" w:hAnsiTheme="minorEastAsia" w:eastAsiaTheme="minorEastAsia"/>
                <w:sz w:val="28"/>
              </w:rPr>
            </w:pPr>
            <w:commentRangeStart w:id="3"/>
            <w:r>
              <w:rPr>
                <w:rFonts w:hint="eastAsia" w:ascii="宋体" w:hAnsi="宋体"/>
                <w:sz w:val="28"/>
              </w:rPr>
              <w:t>授权代表职务及姓名</w:t>
            </w:r>
            <w:commentRangeEnd w:id="3"/>
            <w:r>
              <w:commentReference w:id="3"/>
            </w:r>
          </w:p>
        </w:tc>
        <w:tc>
          <w:tcPr>
            <w:tcW w:w="6144" w:type="dxa"/>
            <w:gridSpan w:val="6"/>
            <w:vAlign w:val="center"/>
          </w:tcPr>
          <w:p w14:paraId="7BB6125C">
            <w:pPr>
              <w:spacing w:line="360" w:lineRule="auto"/>
              <w:rPr>
                <w:rFonts w:asciiTheme="minorEastAsia" w:hAnsiTheme="minorEastAsia" w:eastAsiaTheme="minorEastAsia"/>
                <w:i/>
                <w:sz w:val="28"/>
              </w:rPr>
            </w:pPr>
            <w:r>
              <w:rPr>
                <w:rFonts w:hint="eastAsia" w:ascii="宋体" w:hAnsi="宋体"/>
                <w:i/>
                <w:sz w:val="28"/>
              </w:rPr>
              <w:t>请添加</w:t>
            </w:r>
          </w:p>
        </w:tc>
      </w:tr>
      <w:tr w14:paraId="7103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64" w:type="dxa"/>
            <w:vAlign w:val="center"/>
          </w:tcPr>
          <w:p w14:paraId="4BD40D03">
            <w:pPr>
              <w:spacing w:line="360" w:lineRule="auto"/>
              <w:rPr>
                <w:rFonts w:ascii="宋体" w:hAnsi="宋体"/>
                <w:sz w:val="28"/>
              </w:rPr>
            </w:pPr>
            <w:r>
              <w:rPr>
                <w:rFonts w:hint="eastAsia" w:ascii="宋体" w:hAnsi="宋体"/>
                <w:sz w:val="28"/>
              </w:rPr>
              <w:t>授权代表签字</w:t>
            </w:r>
          </w:p>
        </w:tc>
        <w:tc>
          <w:tcPr>
            <w:tcW w:w="2805" w:type="dxa"/>
            <w:vAlign w:val="center"/>
          </w:tcPr>
          <w:p w14:paraId="00E2173A">
            <w:pPr>
              <w:spacing w:line="360" w:lineRule="auto"/>
              <w:rPr>
                <w:rFonts w:asciiTheme="minorEastAsia" w:hAnsiTheme="minorEastAsia" w:eastAsiaTheme="minorEastAsia"/>
                <w:sz w:val="28"/>
              </w:rPr>
            </w:pPr>
          </w:p>
        </w:tc>
        <w:tc>
          <w:tcPr>
            <w:tcW w:w="1272" w:type="dxa"/>
            <w:gridSpan w:val="3"/>
            <w:vAlign w:val="center"/>
          </w:tcPr>
          <w:p w14:paraId="3FF73170">
            <w:pPr>
              <w:spacing w:line="360" w:lineRule="auto"/>
              <w:rPr>
                <w:rFonts w:asciiTheme="minorEastAsia" w:hAnsiTheme="minorEastAsia" w:eastAsiaTheme="minorEastAsia"/>
                <w:sz w:val="28"/>
              </w:rPr>
            </w:pPr>
            <w:r>
              <w:rPr>
                <w:rFonts w:hint="eastAsia" w:asciiTheme="minorEastAsia" w:hAnsiTheme="minorEastAsia" w:eastAsiaTheme="minorEastAsia"/>
                <w:sz w:val="28"/>
              </w:rPr>
              <w:t>日 期</w:t>
            </w:r>
          </w:p>
        </w:tc>
        <w:tc>
          <w:tcPr>
            <w:tcW w:w="2067" w:type="dxa"/>
            <w:gridSpan w:val="2"/>
            <w:vAlign w:val="center"/>
          </w:tcPr>
          <w:p w14:paraId="4AF6E269">
            <w:pPr>
              <w:spacing w:line="360" w:lineRule="auto"/>
              <w:rPr>
                <w:rFonts w:asciiTheme="minorEastAsia" w:hAnsiTheme="minorEastAsia" w:eastAsiaTheme="minorEastAsia"/>
                <w:sz w:val="28"/>
              </w:rPr>
            </w:pPr>
          </w:p>
        </w:tc>
      </w:tr>
      <w:tr w14:paraId="4461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08" w:type="dxa"/>
            <w:gridSpan w:val="7"/>
            <w:vAlign w:val="center"/>
          </w:tcPr>
          <w:p w14:paraId="7057BEBF">
            <w:pPr>
              <w:spacing w:line="360" w:lineRule="auto"/>
              <w:rPr>
                <w:rFonts w:asciiTheme="minorEastAsia" w:hAnsiTheme="minorEastAsia" w:eastAsiaTheme="minorEastAsia"/>
                <w:b/>
                <w:sz w:val="28"/>
              </w:rPr>
            </w:pPr>
            <w:r>
              <w:rPr>
                <w:rFonts w:hint="eastAsia" w:asciiTheme="minorEastAsia" w:hAnsiTheme="minorEastAsia" w:eastAsiaTheme="minorEastAsia"/>
                <w:b/>
                <w:sz w:val="28"/>
              </w:rPr>
              <w:t>乙方</w:t>
            </w:r>
          </w:p>
        </w:tc>
      </w:tr>
      <w:tr w14:paraId="7178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64" w:type="dxa"/>
            <w:vAlign w:val="center"/>
          </w:tcPr>
          <w:p w14:paraId="61CE3C08">
            <w:pPr>
              <w:spacing w:line="360" w:lineRule="auto"/>
              <w:rPr>
                <w:rFonts w:asciiTheme="minorEastAsia" w:hAnsiTheme="minorEastAsia" w:eastAsiaTheme="minorEastAsia"/>
                <w:sz w:val="28"/>
              </w:rPr>
            </w:pPr>
            <w:r>
              <w:rPr>
                <w:rFonts w:hint="eastAsia" w:asciiTheme="minorEastAsia" w:hAnsiTheme="minorEastAsia" w:eastAsiaTheme="minorEastAsia"/>
                <w:sz w:val="28"/>
              </w:rPr>
              <w:t>单位名称（签章）</w:t>
            </w:r>
          </w:p>
        </w:tc>
        <w:tc>
          <w:tcPr>
            <w:tcW w:w="6144" w:type="dxa"/>
            <w:gridSpan w:val="6"/>
            <w:vAlign w:val="center"/>
          </w:tcPr>
          <w:p w14:paraId="6281479C">
            <w:pPr>
              <w:spacing w:line="360" w:lineRule="auto"/>
              <w:rPr>
                <w:rFonts w:asciiTheme="minorEastAsia" w:hAnsiTheme="minorEastAsia" w:eastAsiaTheme="minorEastAsia"/>
                <w:b/>
                <w:sz w:val="28"/>
              </w:rPr>
            </w:pPr>
            <w:r>
              <w:rPr>
                <w:rFonts w:hint="eastAsia" w:asciiTheme="minorEastAsia" w:hAnsiTheme="minorEastAsia" w:eastAsiaTheme="minorEastAsia"/>
                <w:b/>
                <w:sz w:val="28"/>
              </w:rPr>
              <w:t>首都</w:t>
            </w:r>
            <w:r>
              <w:rPr>
                <w:rFonts w:asciiTheme="minorEastAsia" w:hAnsiTheme="minorEastAsia" w:eastAsiaTheme="minorEastAsia"/>
                <w:b/>
                <w:sz w:val="28"/>
              </w:rPr>
              <w:t>医科大学宣武</w:t>
            </w:r>
            <w:r>
              <w:rPr>
                <w:rFonts w:hint="eastAsia" w:asciiTheme="minorEastAsia" w:hAnsiTheme="minorEastAsia" w:eastAsiaTheme="minorEastAsia"/>
                <w:b/>
                <w:sz w:val="28"/>
              </w:rPr>
              <w:t>医院</w:t>
            </w:r>
          </w:p>
        </w:tc>
      </w:tr>
      <w:tr w14:paraId="73B4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64" w:type="dxa"/>
            <w:vAlign w:val="center"/>
          </w:tcPr>
          <w:p w14:paraId="20A04075">
            <w:pPr>
              <w:spacing w:line="360" w:lineRule="auto"/>
              <w:rPr>
                <w:rFonts w:asciiTheme="minorEastAsia" w:hAnsiTheme="minorEastAsia" w:eastAsiaTheme="minorEastAsia"/>
                <w:sz w:val="28"/>
              </w:rPr>
            </w:pPr>
            <w:r>
              <w:rPr>
                <w:rFonts w:hint="eastAsia" w:asciiTheme="minorEastAsia" w:hAnsiTheme="minorEastAsia" w:eastAsiaTheme="minorEastAsia"/>
                <w:sz w:val="28"/>
              </w:rPr>
              <w:t>主要研究者签字</w:t>
            </w:r>
          </w:p>
        </w:tc>
        <w:tc>
          <w:tcPr>
            <w:tcW w:w="2824" w:type="dxa"/>
            <w:gridSpan w:val="2"/>
            <w:vAlign w:val="center"/>
          </w:tcPr>
          <w:p w14:paraId="16EA8E49">
            <w:pPr>
              <w:spacing w:line="360" w:lineRule="auto"/>
              <w:rPr>
                <w:rFonts w:asciiTheme="minorEastAsia" w:hAnsiTheme="minorEastAsia" w:eastAsiaTheme="minorEastAsia"/>
                <w:sz w:val="28"/>
              </w:rPr>
            </w:pPr>
          </w:p>
        </w:tc>
        <w:tc>
          <w:tcPr>
            <w:tcW w:w="1272" w:type="dxa"/>
            <w:gridSpan w:val="3"/>
            <w:vAlign w:val="center"/>
          </w:tcPr>
          <w:p w14:paraId="5651FB64">
            <w:pPr>
              <w:spacing w:line="360" w:lineRule="auto"/>
              <w:rPr>
                <w:rFonts w:asciiTheme="minorEastAsia" w:hAnsiTheme="minorEastAsia" w:eastAsiaTheme="minorEastAsia"/>
                <w:sz w:val="28"/>
              </w:rPr>
            </w:pPr>
            <w:r>
              <w:rPr>
                <w:rFonts w:hint="eastAsia" w:asciiTheme="minorEastAsia" w:hAnsiTheme="minorEastAsia" w:eastAsiaTheme="minorEastAsia"/>
                <w:sz w:val="28"/>
              </w:rPr>
              <w:t>日 期</w:t>
            </w:r>
          </w:p>
        </w:tc>
        <w:tc>
          <w:tcPr>
            <w:tcW w:w="2048" w:type="dxa"/>
            <w:vAlign w:val="center"/>
          </w:tcPr>
          <w:p w14:paraId="57547221">
            <w:pPr>
              <w:spacing w:line="360" w:lineRule="auto"/>
              <w:rPr>
                <w:rFonts w:asciiTheme="minorEastAsia" w:hAnsiTheme="minorEastAsia" w:eastAsiaTheme="minorEastAsia"/>
                <w:sz w:val="28"/>
              </w:rPr>
            </w:pPr>
          </w:p>
        </w:tc>
      </w:tr>
      <w:tr w14:paraId="33D6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64" w:type="dxa"/>
            <w:vAlign w:val="center"/>
          </w:tcPr>
          <w:p w14:paraId="635411E1">
            <w:pPr>
              <w:spacing w:line="360" w:lineRule="auto"/>
              <w:rPr>
                <w:rFonts w:asciiTheme="minorEastAsia" w:hAnsiTheme="minorEastAsia" w:eastAsiaTheme="minorEastAsia"/>
                <w:sz w:val="28"/>
              </w:rPr>
            </w:pPr>
            <w:r>
              <w:rPr>
                <w:rFonts w:hint="eastAsia" w:asciiTheme="minorEastAsia" w:hAnsiTheme="minorEastAsia" w:eastAsiaTheme="minorEastAsia"/>
                <w:sz w:val="28"/>
              </w:rPr>
              <w:t>授权</w:t>
            </w:r>
            <w:r>
              <w:rPr>
                <w:rFonts w:asciiTheme="minorEastAsia" w:hAnsiTheme="minorEastAsia" w:eastAsiaTheme="minorEastAsia"/>
                <w:sz w:val="28"/>
              </w:rPr>
              <w:t>代表</w:t>
            </w:r>
            <w:r>
              <w:rPr>
                <w:rFonts w:hint="eastAsia" w:ascii="宋体" w:hAnsi="宋体"/>
                <w:sz w:val="28"/>
              </w:rPr>
              <w:t>职务及姓名</w:t>
            </w:r>
          </w:p>
        </w:tc>
        <w:tc>
          <w:tcPr>
            <w:tcW w:w="6144" w:type="dxa"/>
            <w:gridSpan w:val="6"/>
            <w:vAlign w:val="center"/>
          </w:tcPr>
          <w:p w14:paraId="35057035">
            <w:pPr>
              <w:spacing w:line="360" w:lineRule="auto"/>
              <w:rPr>
                <w:rFonts w:hint="default" w:asciiTheme="minorEastAsia" w:hAnsiTheme="minorEastAsia" w:eastAsiaTheme="minorEastAsia"/>
                <w:sz w:val="28"/>
                <w:lang w:val="en-US" w:eastAsia="zh-CN"/>
              </w:rPr>
            </w:pPr>
            <w:r>
              <w:rPr>
                <w:rFonts w:hint="eastAsia" w:asciiTheme="minorEastAsia" w:hAnsiTheme="minorEastAsia" w:eastAsiaTheme="minorEastAsia"/>
                <w:sz w:val="28"/>
                <w:lang w:eastAsia="zh-CN"/>
              </w:rPr>
              <w:t>临床研究管理办公室</w:t>
            </w:r>
            <w:r>
              <w:rPr>
                <w:rFonts w:hint="eastAsia" w:asciiTheme="minorEastAsia" w:hAnsiTheme="minorEastAsia" w:eastAsiaTheme="minorEastAsia"/>
                <w:sz w:val="28"/>
                <w:lang w:val="en-US" w:eastAsia="zh-CN"/>
              </w:rPr>
              <w:t xml:space="preserve">  </w:t>
            </w:r>
            <w:bookmarkStart w:id="2" w:name="_GoBack"/>
            <w:bookmarkEnd w:id="2"/>
            <w:r>
              <w:rPr>
                <w:rFonts w:hint="eastAsia" w:asciiTheme="minorEastAsia" w:hAnsiTheme="minorEastAsia" w:eastAsiaTheme="minorEastAsia"/>
                <w:sz w:val="28"/>
                <w:lang w:val="en-US" w:eastAsia="zh-CN"/>
              </w:rPr>
              <w:t>魏翠柏</w:t>
            </w:r>
          </w:p>
        </w:tc>
      </w:tr>
      <w:tr w14:paraId="204B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64" w:type="dxa"/>
            <w:vAlign w:val="center"/>
          </w:tcPr>
          <w:p w14:paraId="5599EFFE">
            <w:pPr>
              <w:spacing w:line="360" w:lineRule="auto"/>
              <w:rPr>
                <w:rFonts w:asciiTheme="minorEastAsia" w:hAnsiTheme="minorEastAsia" w:eastAsiaTheme="minorEastAsia"/>
                <w:sz w:val="28"/>
              </w:rPr>
            </w:pPr>
            <w:r>
              <w:rPr>
                <w:rFonts w:hint="eastAsia" w:ascii="宋体" w:hAnsi="宋体"/>
                <w:sz w:val="28"/>
              </w:rPr>
              <w:t>授权代表签字</w:t>
            </w:r>
          </w:p>
        </w:tc>
        <w:tc>
          <w:tcPr>
            <w:tcW w:w="2824" w:type="dxa"/>
            <w:gridSpan w:val="2"/>
            <w:vAlign w:val="center"/>
          </w:tcPr>
          <w:p w14:paraId="7347951A">
            <w:pPr>
              <w:spacing w:line="360" w:lineRule="auto"/>
              <w:rPr>
                <w:rFonts w:asciiTheme="minorEastAsia" w:hAnsiTheme="minorEastAsia" w:eastAsiaTheme="minorEastAsia"/>
                <w:sz w:val="28"/>
              </w:rPr>
            </w:pPr>
          </w:p>
        </w:tc>
        <w:tc>
          <w:tcPr>
            <w:tcW w:w="1272" w:type="dxa"/>
            <w:gridSpan w:val="3"/>
            <w:vAlign w:val="center"/>
          </w:tcPr>
          <w:p w14:paraId="72D37F9B">
            <w:pPr>
              <w:spacing w:line="360" w:lineRule="auto"/>
              <w:rPr>
                <w:rFonts w:asciiTheme="minorEastAsia" w:hAnsiTheme="minorEastAsia" w:eastAsiaTheme="minorEastAsia"/>
                <w:sz w:val="28"/>
              </w:rPr>
            </w:pPr>
            <w:r>
              <w:rPr>
                <w:rFonts w:hint="eastAsia" w:asciiTheme="minorEastAsia" w:hAnsiTheme="minorEastAsia" w:eastAsiaTheme="minorEastAsia"/>
                <w:sz w:val="28"/>
              </w:rPr>
              <w:t>日 期</w:t>
            </w:r>
          </w:p>
        </w:tc>
        <w:tc>
          <w:tcPr>
            <w:tcW w:w="2048" w:type="dxa"/>
            <w:vAlign w:val="center"/>
          </w:tcPr>
          <w:p w14:paraId="0F4B37C3">
            <w:pPr>
              <w:spacing w:line="360" w:lineRule="auto"/>
              <w:rPr>
                <w:rFonts w:asciiTheme="minorEastAsia" w:hAnsiTheme="minorEastAsia" w:eastAsiaTheme="minorEastAsia"/>
                <w:sz w:val="28"/>
              </w:rPr>
            </w:pPr>
          </w:p>
        </w:tc>
      </w:tr>
      <w:tr w14:paraId="709C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08" w:type="dxa"/>
            <w:gridSpan w:val="7"/>
            <w:vAlign w:val="center"/>
          </w:tcPr>
          <w:p w14:paraId="7714AFDF">
            <w:pPr>
              <w:spacing w:line="360" w:lineRule="auto"/>
              <w:rPr>
                <w:rFonts w:asciiTheme="minorEastAsia" w:hAnsiTheme="minorEastAsia" w:eastAsiaTheme="minorEastAsia"/>
                <w:b/>
                <w:sz w:val="28"/>
              </w:rPr>
            </w:pPr>
            <w:r>
              <w:rPr>
                <w:rFonts w:hint="eastAsia" w:asciiTheme="minorEastAsia" w:hAnsiTheme="minorEastAsia" w:eastAsiaTheme="minorEastAsia"/>
                <w:b/>
                <w:sz w:val="28"/>
              </w:rPr>
              <w:t>丙方</w:t>
            </w:r>
          </w:p>
        </w:tc>
      </w:tr>
      <w:tr w14:paraId="7D7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64" w:type="dxa"/>
            <w:vAlign w:val="center"/>
          </w:tcPr>
          <w:p w14:paraId="725CFA76">
            <w:pPr>
              <w:spacing w:line="360" w:lineRule="auto"/>
              <w:rPr>
                <w:rFonts w:asciiTheme="minorEastAsia" w:hAnsiTheme="minorEastAsia" w:eastAsiaTheme="minorEastAsia"/>
                <w:sz w:val="28"/>
              </w:rPr>
            </w:pPr>
            <w:r>
              <w:rPr>
                <w:rFonts w:hint="eastAsia" w:asciiTheme="minorEastAsia" w:hAnsiTheme="minorEastAsia" w:eastAsiaTheme="minorEastAsia"/>
                <w:sz w:val="28"/>
              </w:rPr>
              <w:t>单位名称（签章）</w:t>
            </w:r>
          </w:p>
        </w:tc>
        <w:tc>
          <w:tcPr>
            <w:tcW w:w="6144" w:type="dxa"/>
            <w:gridSpan w:val="6"/>
            <w:vAlign w:val="center"/>
          </w:tcPr>
          <w:p w14:paraId="1DEDC912">
            <w:pPr>
              <w:spacing w:line="360" w:lineRule="auto"/>
              <w:rPr>
                <w:rFonts w:asciiTheme="minorEastAsia" w:hAnsiTheme="minorEastAsia" w:eastAsiaTheme="minorEastAsia"/>
                <w:b/>
                <w:sz w:val="28"/>
              </w:rPr>
            </w:pPr>
          </w:p>
        </w:tc>
      </w:tr>
      <w:tr w14:paraId="0E46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64" w:type="dxa"/>
            <w:vAlign w:val="center"/>
          </w:tcPr>
          <w:p w14:paraId="100F27C6">
            <w:pPr>
              <w:spacing w:line="360" w:lineRule="auto"/>
              <w:rPr>
                <w:rFonts w:asciiTheme="minorEastAsia" w:hAnsiTheme="minorEastAsia" w:eastAsiaTheme="minorEastAsia"/>
                <w:sz w:val="28"/>
              </w:rPr>
            </w:pPr>
            <w:commentRangeStart w:id="4"/>
            <w:r>
              <w:rPr>
                <w:rFonts w:hint="eastAsia" w:ascii="宋体" w:hAnsi="宋体"/>
                <w:sz w:val="28"/>
              </w:rPr>
              <w:t>授权代表职务及姓名</w:t>
            </w:r>
            <w:commentRangeEnd w:id="4"/>
            <w:r>
              <w:commentReference w:id="4"/>
            </w:r>
          </w:p>
        </w:tc>
        <w:tc>
          <w:tcPr>
            <w:tcW w:w="6144" w:type="dxa"/>
            <w:gridSpan w:val="6"/>
            <w:vAlign w:val="center"/>
          </w:tcPr>
          <w:p w14:paraId="21BCCD07">
            <w:pPr>
              <w:spacing w:line="360" w:lineRule="auto"/>
              <w:rPr>
                <w:rFonts w:asciiTheme="minorEastAsia" w:hAnsiTheme="minorEastAsia" w:eastAsiaTheme="minorEastAsia"/>
                <w:i/>
                <w:sz w:val="28"/>
              </w:rPr>
            </w:pPr>
            <w:r>
              <w:rPr>
                <w:rFonts w:hint="eastAsia" w:ascii="宋体" w:hAnsi="宋体"/>
                <w:i/>
                <w:sz w:val="28"/>
              </w:rPr>
              <w:t>请添加</w:t>
            </w:r>
          </w:p>
        </w:tc>
      </w:tr>
      <w:tr w14:paraId="679A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64" w:type="dxa"/>
            <w:vAlign w:val="center"/>
          </w:tcPr>
          <w:p w14:paraId="4BD12E24">
            <w:pPr>
              <w:spacing w:line="360" w:lineRule="auto"/>
              <w:rPr>
                <w:rFonts w:ascii="宋体" w:hAnsi="宋体"/>
                <w:sz w:val="28"/>
              </w:rPr>
            </w:pPr>
            <w:r>
              <w:rPr>
                <w:rFonts w:hint="eastAsia" w:ascii="宋体" w:hAnsi="宋体"/>
                <w:sz w:val="28"/>
              </w:rPr>
              <w:t>授权代表签字</w:t>
            </w:r>
          </w:p>
        </w:tc>
        <w:tc>
          <w:tcPr>
            <w:tcW w:w="2836" w:type="dxa"/>
            <w:gridSpan w:val="3"/>
            <w:vAlign w:val="center"/>
          </w:tcPr>
          <w:p w14:paraId="42F33353">
            <w:pPr>
              <w:spacing w:line="360" w:lineRule="auto"/>
              <w:rPr>
                <w:rFonts w:asciiTheme="minorEastAsia" w:hAnsiTheme="minorEastAsia" w:eastAsiaTheme="minorEastAsia"/>
                <w:sz w:val="28"/>
              </w:rPr>
            </w:pPr>
          </w:p>
        </w:tc>
        <w:tc>
          <w:tcPr>
            <w:tcW w:w="1260" w:type="dxa"/>
            <w:gridSpan w:val="2"/>
            <w:vAlign w:val="center"/>
          </w:tcPr>
          <w:p w14:paraId="4EFA3B59">
            <w:pPr>
              <w:spacing w:line="360" w:lineRule="auto"/>
              <w:rPr>
                <w:rFonts w:asciiTheme="minorEastAsia" w:hAnsiTheme="minorEastAsia" w:eastAsiaTheme="minorEastAsia"/>
                <w:sz w:val="28"/>
              </w:rPr>
            </w:pPr>
            <w:r>
              <w:rPr>
                <w:rFonts w:hint="eastAsia" w:asciiTheme="minorEastAsia" w:hAnsiTheme="minorEastAsia" w:eastAsiaTheme="minorEastAsia"/>
                <w:sz w:val="28"/>
              </w:rPr>
              <w:t>日 期</w:t>
            </w:r>
          </w:p>
        </w:tc>
        <w:tc>
          <w:tcPr>
            <w:tcW w:w="2048" w:type="dxa"/>
            <w:vAlign w:val="center"/>
          </w:tcPr>
          <w:p w14:paraId="6A71403C">
            <w:pPr>
              <w:spacing w:line="360" w:lineRule="auto"/>
              <w:rPr>
                <w:rFonts w:asciiTheme="minorEastAsia" w:hAnsiTheme="minorEastAsia" w:eastAsiaTheme="minorEastAsia"/>
                <w:sz w:val="28"/>
              </w:rPr>
            </w:pPr>
          </w:p>
        </w:tc>
      </w:tr>
    </w:tbl>
    <w:p w14:paraId="5142C9B5">
      <w:pPr>
        <w:spacing w:line="360" w:lineRule="auto"/>
        <w:rPr>
          <w:sz w:val="24"/>
          <w:szCs w:val="24"/>
        </w:rPr>
      </w:pPr>
    </w:p>
    <w:p w14:paraId="181A2B9A">
      <w:pPr>
        <w:widowControl/>
        <w:spacing w:line="360" w:lineRule="auto"/>
        <w:jc w:val="left"/>
        <w:rPr>
          <w:sz w:val="24"/>
          <w:szCs w:val="24"/>
        </w:rPr>
      </w:pPr>
      <w:r>
        <w:rPr>
          <w:sz w:val="24"/>
          <w:szCs w:val="24"/>
        </w:rPr>
        <w:br w:type="page"/>
      </w:r>
    </w:p>
    <w:p w14:paraId="60F6AF92">
      <w:pPr>
        <w:spacing w:line="360" w:lineRule="auto"/>
        <w:rPr>
          <w:sz w:val="28"/>
          <w:szCs w:val="28"/>
        </w:rPr>
      </w:pPr>
      <w:r>
        <w:rPr>
          <w:rFonts w:hint="eastAsia"/>
          <w:sz w:val="28"/>
          <w:szCs w:val="28"/>
        </w:rPr>
        <w:t>附件</w:t>
      </w:r>
      <w:r>
        <w:rPr>
          <w:sz w:val="28"/>
          <w:szCs w:val="28"/>
        </w:rPr>
        <w:t>：</w:t>
      </w:r>
      <w:r>
        <w:rPr>
          <w:rFonts w:hint="eastAsia"/>
          <w:sz w:val="28"/>
          <w:szCs w:val="28"/>
        </w:rPr>
        <w:t>CRC的</w:t>
      </w:r>
      <w:r>
        <w:rPr>
          <w:sz w:val="28"/>
          <w:szCs w:val="28"/>
        </w:rPr>
        <w:t>工作内容</w:t>
      </w:r>
      <w:r>
        <w:rPr>
          <w:rFonts w:hint="eastAsia"/>
          <w:sz w:val="28"/>
          <w:szCs w:val="28"/>
        </w:rPr>
        <w:t>：</w:t>
      </w:r>
    </w:p>
    <w:tbl>
      <w:tblPr>
        <w:tblStyle w:val="15"/>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1697"/>
        <w:gridCol w:w="5537"/>
      </w:tblGrid>
      <w:tr w14:paraId="2A76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14:paraId="79A4F350">
            <w:pPr>
              <w:widowControl/>
              <w:spacing w:line="360" w:lineRule="auto"/>
              <w:jc w:val="center"/>
              <w:rPr>
                <w:rFonts w:cs="宋体"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工作内容</w:t>
            </w:r>
          </w:p>
        </w:tc>
        <w:tc>
          <w:tcPr>
            <w:tcW w:w="1697" w:type="dxa"/>
            <w:tcBorders>
              <w:top w:val="single" w:color="auto" w:sz="4" w:space="0"/>
              <w:left w:val="single" w:color="auto" w:sz="4" w:space="0"/>
              <w:bottom w:val="single" w:color="auto" w:sz="4" w:space="0"/>
              <w:right w:val="single" w:color="auto" w:sz="4" w:space="0"/>
            </w:tcBorders>
            <w:vAlign w:val="center"/>
          </w:tcPr>
          <w:p w14:paraId="1AC5C7A6">
            <w:pPr>
              <w:widowControl/>
              <w:spacing w:line="360" w:lineRule="auto"/>
              <w:jc w:val="center"/>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分级项目</w:t>
            </w:r>
          </w:p>
        </w:tc>
        <w:tc>
          <w:tcPr>
            <w:tcW w:w="5537" w:type="dxa"/>
            <w:tcBorders>
              <w:top w:val="single" w:color="auto" w:sz="4" w:space="0"/>
              <w:left w:val="single" w:color="auto" w:sz="4" w:space="0"/>
              <w:bottom w:val="single" w:color="auto" w:sz="4" w:space="0"/>
              <w:right w:val="single" w:color="auto" w:sz="4" w:space="0"/>
            </w:tcBorders>
            <w:vAlign w:val="center"/>
          </w:tcPr>
          <w:p w14:paraId="38AC893C">
            <w:pPr>
              <w:widowControl/>
              <w:spacing w:line="360" w:lineRule="auto"/>
              <w:jc w:val="center"/>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CRC工作描述</w:t>
            </w:r>
          </w:p>
        </w:tc>
      </w:tr>
      <w:tr w14:paraId="60D4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6" w:type="dxa"/>
            <w:vMerge w:val="restart"/>
            <w:tcBorders>
              <w:top w:val="single" w:color="auto" w:sz="4" w:space="0"/>
              <w:left w:val="single" w:color="auto" w:sz="4" w:space="0"/>
              <w:bottom w:val="single" w:color="auto" w:sz="4" w:space="0"/>
              <w:right w:val="single" w:color="auto" w:sz="4" w:space="0"/>
            </w:tcBorders>
            <w:vAlign w:val="center"/>
          </w:tcPr>
          <w:p w14:paraId="4817B676">
            <w:pPr>
              <w:widowControl/>
              <w:spacing w:line="360" w:lineRule="auto"/>
              <w:jc w:val="left"/>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伦理/机构的沟通协调</w:t>
            </w:r>
          </w:p>
        </w:tc>
        <w:tc>
          <w:tcPr>
            <w:tcW w:w="1697" w:type="dxa"/>
            <w:tcBorders>
              <w:top w:val="single" w:color="auto" w:sz="4" w:space="0"/>
              <w:left w:val="single" w:color="auto" w:sz="4" w:space="0"/>
              <w:bottom w:val="single" w:color="auto" w:sz="4" w:space="0"/>
              <w:right w:val="single" w:color="auto" w:sz="4" w:space="0"/>
            </w:tcBorders>
            <w:vAlign w:val="center"/>
          </w:tcPr>
          <w:p w14:paraId="4E68ADA1">
            <w:pPr>
              <w:widowControl/>
              <w:spacing w:line="360" w:lineRule="auto"/>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中心启动前</w:t>
            </w:r>
          </w:p>
        </w:tc>
        <w:tc>
          <w:tcPr>
            <w:tcW w:w="5537" w:type="dxa"/>
            <w:tcBorders>
              <w:top w:val="single" w:color="auto" w:sz="4" w:space="0"/>
              <w:left w:val="single" w:color="auto" w:sz="4" w:space="0"/>
              <w:bottom w:val="single" w:color="auto" w:sz="4" w:space="0"/>
              <w:right w:val="single" w:color="auto" w:sz="4" w:space="0"/>
            </w:tcBorders>
            <w:vAlign w:val="center"/>
          </w:tcPr>
          <w:p w14:paraId="3ADB7E74">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协助研究者完成伦理资料递交、获取伦理批件、回执</w:t>
            </w:r>
          </w:p>
        </w:tc>
      </w:tr>
      <w:tr w14:paraId="26F0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76" w:type="dxa"/>
            <w:vMerge w:val="continue"/>
            <w:tcBorders>
              <w:top w:val="single" w:color="auto" w:sz="4" w:space="0"/>
              <w:left w:val="single" w:color="auto" w:sz="4" w:space="0"/>
              <w:bottom w:val="single" w:color="auto" w:sz="4" w:space="0"/>
              <w:right w:val="single" w:color="auto" w:sz="4" w:space="0"/>
            </w:tcBorders>
            <w:vAlign w:val="center"/>
          </w:tcPr>
          <w:p w14:paraId="5C3B3F98">
            <w:pPr>
              <w:widowControl/>
              <w:jc w:val="left"/>
              <w:rPr>
                <w:rFonts w:cs="宋体" w:asciiTheme="minorEastAsia" w:hAnsiTheme="minorEastAsia" w:eastAsiaTheme="minorEastAsia"/>
                <w:b/>
                <w:bCs/>
                <w:color w:val="000000"/>
                <w:kern w:val="0"/>
                <w:szCs w:val="21"/>
              </w:rPr>
            </w:pPr>
          </w:p>
        </w:tc>
        <w:tc>
          <w:tcPr>
            <w:tcW w:w="1697" w:type="dxa"/>
            <w:tcBorders>
              <w:top w:val="single" w:color="auto" w:sz="4" w:space="0"/>
              <w:left w:val="single" w:color="auto" w:sz="4" w:space="0"/>
              <w:bottom w:val="single" w:color="auto" w:sz="4" w:space="0"/>
              <w:right w:val="single" w:color="auto" w:sz="4" w:space="0"/>
            </w:tcBorders>
            <w:vAlign w:val="center"/>
          </w:tcPr>
          <w:p w14:paraId="08D198E2">
            <w:pPr>
              <w:widowControl/>
              <w:spacing w:line="360" w:lineRule="auto"/>
              <w:jc w:val="center"/>
              <w:rPr>
                <w:rFonts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项目进行期间</w:t>
            </w:r>
          </w:p>
        </w:tc>
        <w:tc>
          <w:tcPr>
            <w:tcW w:w="5537" w:type="dxa"/>
            <w:tcBorders>
              <w:top w:val="single" w:color="auto" w:sz="4" w:space="0"/>
              <w:left w:val="single" w:color="auto" w:sz="4" w:space="0"/>
              <w:bottom w:val="single" w:color="auto" w:sz="4" w:space="0"/>
              <w:right w:val="single" w:color="auto" w:sz="4" w:space="0"/>
            </w:tcBorders>
            <w:vAlign w:val="center"/>
          </w:tcPr>
          <w:p w14:paraId="6BA87AF8">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协助研究者完成项目期间的伦理资料递交和备案</w:t>
            </w:r>
          </w:p>
        </w:tc>
      </w:tr>
      <w:tr w14:paraId="4F4F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276" w:type="dxa"/>
            <w:vMerge w:val="continue"/>
            <w:tcBorders>
              <w:top w:val="single" w:color="auto" w:sz="4" w:space="0"/>
              <w:left w:val="single" w:color="auto" w:sz="4" w:space="0"/>
              <w:bottom w:val="single" w:color="auto" w:sz="4" w:space="0"/>
              <w:right w:val="single" w:color="auto" w:sz="4" w:space="0"/>
            </w:tcBorders>
            <w:vAlign w:val="center"/>
          </w:tcPr>
          <w:p w14:paraId="19812E5F">
            <w:pPr>
              <w:widowControl/>
              <w:jc w:val="left"/>
              <w:rPr>
                <w:rFonts w:cs="宋体" w:asciiTheme="minorEastAsia" w:hAnsiTheme="minorEastAsia" w:eastAsiaTheme="minorEastAsia"/>
                <w:b/>
                <w:bCs/>
                <w:color w:val="000000"/>
                <w:kern w:val="0"/>
                <w:szCs w:val="21"/>
              </w:rPr>
            </w:pPr>
          </w:p>
        </w:tc>
        <w:tc>
          <w:tcPr>
            <w:tcW w:w="1697" w:type="dxa"/>
            <w:tcBorders>
              <w:top w:val="single" w:color="auto" w:sz="4" w:space="0"/>
              <w:left w:val="single" w:color="auto" w:sz="4" w:space="0"/>
              <w:bottom w:val="single" w:color="auto" w:sz="4" w:space="0"/>
              <w:right w:val="single" w:color="auto" w:sz="4" w:space="0"/>
            </w:tcBorders>
            <w:vAlign w:val="center"/>
          </w:tcPr>
          <w:p w14:paraId="69CE7AD3">
            <w:pPr>
              <w:widowControl/>
              <w:spacing w:line="360" w:lineRule="auto"/>
              <w:jc w:val="center"/>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中心关闭</w:t>
            </w:r>
          </w:p>
        </w:tc>
        <w:tc>
          <w:tcPr>
            <w:tcW w:w="5537" w:type="dxa"/>
            <w:tcBorders>
              <w:top w:val="single" w:color="auto" w:sz="4" w:space="0"/>
              <w:left w:val="single" w:color="auto" w:sz="4" w:space="0"/>
              <w:bottom w:val="single" w:color="auto" w:sz="4" w:space="0"/>
              <w:right w:val="single" w:color="auto" w:sz="4" w:space="0"/>
            </w:tcBorders>
            <w:vAlign w:val="center"/>
          </w:tcPr>
          <w:p w14:paraId="23E07055">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协助研究者递交研究报告，关闭中心文件签署，整理资料归档</w:t>
            </w:r>
          </w:p>
        </w:tc>
      </w:tr>
      <w:tr w14:paraId="3ACE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76" w:type="dxa"/>
            <w:vMerge w:val="restart"/>
            <w:tcBorders>
              <w:top w:val="single" w:color="auto" w:sz="4" w:space="0"/>
              <w:left w:val="single" w:color="auto" w:sz="4" w:space="0"/>
              <w:bottom w:val="single" w:color="auto" w:sz="4" w:space="0"/>
              <w:right w:val="single" w:color="auto" w:sz="4" w:space="0"/>
            </w:tcBorders>
            <w:vAlign w:val="center"/>
          </w:tcPr>
          <w:p w14:paraId="26ABD7E9">
            <w:pPr>
              <w:spacing w:line="360" w:lineRule="auto"/>
              <w:jc w:val="left"/>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安全性报告管理</w:t>
            </w:r>
          </w:p>
        </w:tc>
        <w:tc>
          <w:tcPr>
            <w:tcW w:w="1697" w:type="dxa"/>
            <w:tcBorders>
              <w:top w:val="single" w:color="auto" w:sz="4" w:space="0"/>
              <w:left w:val="single" w:color="auto" w:sz="4" w:space="0"/>
              <w:bottom w:val="single" w:color="auto" w:sz="4" w:space="0"/>
              <w:right w:val="single" w:color="auto" w:sz="4" w:space="0"/>
            </w:tcBorders>
            <w:vAlign w:val="center"/>
          </w:tcPr>
          <w:p w14:paraId="2CF3C829">
            <w:pPr>
              <w:widowControl/>
              <w:spacing w:line="360" w:lineRule="auto"/>
              <w:jc w:val="center"/>
              <w:rPr>
                <w:rFonts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发生在本中心</w:t>
            </w:r>
          </w:p>
        </w:tc>
        <w:tc>
          <w:tcPr>
            <w:tcW w:w="5537" w:type="dxa"/>
            <w:tcBorders>
              <w:top w:val="single" w:color="auto" w:sz="4" w:space="0"/>
              <w:left w:val="single" w:color="auto" w:sz="4" w:space="0"/>
              <w:bottom w:val="single" w:color="auto" w:sz="4" w:space="0"/>
              <w:right w:val="single" w:color="auto" w:sz="4" w:space="0"/>
            </w:tcBorders>
            <w:vAlign w:val="center"/>
          </w:tcPr>
          <w:p w14:paraId="4C459F66">
            <w:pPr>
              <w:widowControl/>
              <w:spacing w:line="360" w:lineRule="auto"/>
              <w:jc w:val="lef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协助研究者收集整理检查报告单，提醒研究者审阅并判断潜在AE或SAE或SUSAR，协助研究者完成SAE报告、发送SAE报告</w:t>
            </w:r>
          </w:p>
        </w:tc>
      </w:tr>
      <w:tr w14:paraId="65C1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76" w:type="dxa"/>
            <w:vMerge w:val="continue"/>
            <w:tcBorders>
              <w:top w:val="single" w:color="auto" w:sz="4" w:space="0"/>
              <w:left w:val="single" w:color="auto" w:sz="4" w:space="0"/>
              <w:bottom w:val="single" w:color="auto" w:sz="4" w:space="0"/>
              <w:right w:val="single" w:color="auto" w:sz="4" w:space="0"/>
            </w:tcBorders>
            <w:vAlign w:val="center"/>
          </w:tcPr>
          <w:p w14:paraId="39BE06B8">
            <w:pPr>
              <w:widowControl/>
              <w:jc w:val="left"/>
              <w:rPr>
                <w:rFonts w:cs="宋体" w:asciiTheme="minorEastAsia" w:hAnsiTheme="minorEastAsia" w:eastAsiaTheme="minorEastAsia"/>
                <w:b/>
                <w:bCs/>
                <w:color w:val="000000"/>
                <w:kern w:val="0"/>
                <w:szCs w:val="21"/>
              </w:rPr>
            </w:pPr>
          </w:p>
        </w:tc>
        <w:tc>
          <w:tcPr>
            <w:tcW w:w="1697" w:type="dxa"/>
            <w:tcBorders>
              <w:top w:val="single" w:color="auto" w:sz="4" w:space="0"/>
              <w:left w:val="single" w:color="auto" w:sz="4" w:space="0"/>
              <w:bottom w:val="single" w:color="auto" w:sz="4" w:space="0"/>
              <w:right w:val="single" w:color="auto" w:sz="4" w:space="0"/>
            </w:tcBorders>
            <w:vAlign w:val="center"/>
          </w:tcPr>
          <w:p w14:paraId="539034CD">
            <w:pPr>
              <w:widowControl/>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发生在其他中心</w:t>
            </w:r>
          </w:p>
        </w:tc>
        <w:tc>
          <w:tcPr>
            <w:tcW w:w="5537" w:type="dxa"/>
            <w:tcBorders>
              <w:top w:val="single" w:color="auto" w:sz="4" w:space="0"/>
              <w:left w:val="single" w:color="auto" w:sz="4" w:space="0"/>
              <w:bottom w:val="single" w:color="auto" w:sz="4" w:space="0"/>
              <w:right w:val="single" w:color="auto" w:sz="4" w:space="0"/>
            </w:tcBorders>
            <w:vAlign w:val="center"/>
          </w:tcPr>
          <w:p w14:paraId="1B9AD044">
            <w:pPr>
              <w:widowControl/>
              <w:spacing w:line="360" w:lineRule="auto"/>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协助研究者接收SAE及SUSAR等相关安全报告、完成签署、EC备案，并归档至ISF中</w:t>
            </w:r>
          </w:p>
        </w:tc>
      </w:tr>
      <w:tr w14:paraId="1E44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14:paraId="2835F107">
            <w:pPr>
              <w:spacing w:line="360" w:lineRule="auto"/>
              <w:jc w:val="left"/>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研究文档管理</w:t>
            </w:r>
          </w:p>
        </w:tc>
        <w:tc>
          <w:tcPr>
            <w:tcW w:w="1697" w:type="dxa"/>
            <w:tcBorders>
              <w:top w:val="single" w:color="auto" w:sz="4" w:space="0"/>
              <w:left w:val="single" w:color="auto" w:sz="4" w:space="0"/>
              <w:bottom w:val="single" w:color="auto" w:sz="4" w:space="0"/>
              <w:right w:val="single" w:color="auto" w:sz="4" w:space="0"/>
            </w:tcBorders>
            <w:vAlign w:val="center"/>
          </w:tcPr>
          <w:p w14:paraId="3B75C3EA">
            <w:pPr>
              <w:widowControl/>
              <w:spacing w:line="360" w:lineRule="auto"/>
              <w:jc w:val="center"/>
              <w:rPr>
                <w:rFonts w:cs="宋体" w:asciiTheme="minorEastAsia" w:hAnsiTheme="minorEastAsia" w:eastAsiaTheme="minorEastAsia"/>
                <w:color w:val="000000"/>
                <w:kern w:val="0"/>
                <w:szCs w:val="21"/>
              </w:rPr>
            </w:pPr>
          </w:p>
        </w:tc>
        <w:tc>
          <w:tcPr>
            <w:tcW w:w="5537" w:type="dxa"/>
            <w:tcBorders>
              <w:top w:val="single" w:color="auto" w:sz="4" w:space="0"/>
              <w:left w:val="single" w:color="auto" w:sz="4" w:space="0"/>
              <w:bottom w:val="single" w:color="auto" w:sz="4" w:space="0"/>
              <w:right w:val="single" w:color="auto" w:sz="4" w:space="0"/>
            </w:tcBorders>
            <w:vAlign w:val="center"/>
          </w:tcPr>
          <w:p w14:paraId="62B2DBA2">
            <w:pPr>
              <w:widowControl/>
              <w:spacing w:line="360" w:lineRule="auto"/>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协助研究者完成试验各个阶段研究中心的文档收集、管理、更新</w:t>
            </w:r>
          </w:p>
        </w:tc>
      </w:tr>
      <w:tr w14:paraId="0AEC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276" w:type="dxa"/>
            <w:vMerge w:val="restart"/>
            <w:tcBorders>
              <w:top w:val="single" w:color="auto" w:sz="4" w:space="0"/>
              <w:left w:val="single" w:color="auto" w:sz="4" w:space="0"/>
              <w:bottom w:val="single" w:color="auto" w:sz="4" w:space="0"/>
              <w:right w:val="single" w:color="auto" w:sz="4" w:space="0"/>
            </w:tcBorders>
            <w:vAlign w:val="center"/>
          </w:tcPr>
          <w:p w14:paraId="428322D6">
            <w:pPr>
              <w:widowControl/>
              <w:spacing w:line="360" w:lineRule="auto"/>
              <w:jc w:val="left"/>
              <w:rPr>
                <w:rFonts w:cs="宋体" w:asciiTheme="minorEastAsia" w:hAnsiTheme="minorEastAsia" w:eastAsiaTheme="minorEastAsia"/>
                <w:b/>
                <w:bCs/>
                <w:color w:val="000000"/>
                <w:kern w:val="0"/>
                <w:szCs w:val="21"/>
              </w:rPr>
            </w:pPr>
          </w:p>
          <w:p w14:paraId="28D2B98B">
            <w:pPr>
              <w:spacing w:line="360" w:lineRule="auto"/>
              <w:jc w:val="left"/>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受试者管理</w:t>
            </w:r>
          </w:p>
        </w:tc>
        <w:tc>
          <w:tcPr>
            <w:tcW w:w="1697" w:type="dxa"/>
            <w:tcBorders>
              <w:top w:val="single" w:color="auto" w:sz="4" w:space="0"/>
              <w:left w:val="single" w:color="auto" w:sz="4" w:space="0"/>
              <w:bottom w:val="single" w:color="auto" w:sz="4" w:space="0"/>
              <w:right w:val="single" w:color="auto" w:sz="4" w:space="0"/>
            </w:tcBorders>
            <w:vAlign w:val="center"/>
          </w:tcPr>
          <w:p w14:paraId="7CA4D789">
            <w:pPr>
              <w:widowControl/>
              <w:spacing w:line="360" w:lineRule="auto"/>
              <w:jc w:val="center"/>
              <w:rPr>
                <w:rFonts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受试者筛选</w:t>
            </w:r>
          </w:p>
        </w:tc>
        <w:tc>
          <w:tcPr>
            <w:tcW w:w="5537" w:type="dxa"/>
            <w:tcBorders>
              <w:top w:val="single" w:color="auto" w:sz="4" w:space="0"/>
              <w:left w:val="single" w:color="auto" w:sz="4" w:space="0"/>
              <w:bottom w:val="single" w:color="auto" w:sz="4" w:space="0"/>
              <w:right w:val="single" w:color="auto" w:sz="4" w:space="0"/>
            </w:tcBorders>
            <w:vAlign w:val="center"/>
          </w:tcPr>
          <w:p w14:paraId="10ABE8FB">
            <w:pPr>
              <w:widowControl/>
              <w:spacing w:line="360" w:lineRule="auto"/>
              <w:jc w:val="left"/>
              <w:rPr>
                <w:rFonts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协助研究者完成受试者筛选工作，包括受试者筛选、获取知情同意书、获取检查结果并找研究者审阅签字、安排计划外访视等</w:t>
            </w:r>
          </w:p>
        </w:tc>
      </w:tr>
      <w:tr w14:paraId="5A39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76" w:type="dxa"/>
            <w:vMerge w:val="continue"/>
            <w:tcBorders>
              <w:top w:val="single" w:color="auto" w:sz="4" w:space="0"/>
              <w:left w:val="single" w:color="auto" w:sz="4" w:space="0"/>
              <w:bottom w:val="single" w:color="auto" w:sz="4" w:space="0"/>
              <w:right w:val="single" w:color="auto" w:sz="4" w:space="0"/>
            </w:tcBorders>
            <w:vAlign w:val="center"/>
          </w:tcPr>
          <w:p w14:paraId="5CB51947">
            <w:pPr>
              <w:widowControl/>
              <w:jc w:val="left"/>
              <w:rPr>
                <w:rFonts w:cs="宋体" w:asciiTheme="minorEastAsia" w:hAnsiTheme="minorEastAsia" w:eastAsiaTheme="minorEastAsia"/>
                <w:b/>
                <w:bCs/>
                <w:color w:val="000000"/>
                <w:kern w:val="0"/>
                <w:szCs w:val="21"/>
              </w:rPr>
            </w:pPr>
          </w:p>
        </w:tc>
        <w:tc>
          <w:tcPr>
            <w:tcW w:w="1697" w:type="dxa"/>
            <w:tcBorders>
              <w:top w:val="single" w:color="auto" w:sz="4" w:space="0"/>
              <w:left w:val="single" w:color="auto" w:sz="4" w:space="0"/>
              <w:bottom w:val="single" w:color="auto" w:sz="4" w:space="0"/>
              <w:right w:val="single" w:color="auto" w:sz="4" w:space="0"/>
            </w:tcBorders>
            <w:vAlign w:val="center"/>
          </w:tcPr>
          <w:p w14:paraId="0CAC4714">
            <w:pPr>
              <w:widowControl/>
              <w:spacing w:line="360" w:lineRule="auto"/>
              <w:jc w:val="center"/>
              <w:rPr>
                <w:rFonts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受试者原始资料的整理及收集</w:t>
            </w:r>
          </w:p>
        </w:tc>
        <w:tc>
          <w:tcPr>
            <w:tcW w:w="5537" w:type="dxa"/>
            <w:tcBorders>
              <w:top w:val="single" w:color="auto" w:sz="4" w:space="0"/>
              <w:left w:val="single" w:color="auto" w:sz="4" w:space="0"/>
              <w:bottom w:val="single" w:color="auto" w:sz="4" w:space="0"/>
              <w:right w:val="single" w:color="auto" w:sz="4" w:space="0"/>
            </w:tcBorders>
            <w:vAlign w:val="center"/>
          </w:tcPr>
          <w:p w14:paraId="761733BE">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督促研究者完成原始资料的撰写，提醒研究者按照原始数据核查清单进行原始数据的收集和管理；</w:t>
            </w:r>
          </w:p>
          <w:p w14:paraId="5E76648B">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协助研究者收集整理受试者原始资料及检查结果报告，影像学资料的拷贝上传等</w:t>
            </w:r>
          </w:p>
        </w:tc>
      </w:tr>
      <w:tr w14:paraId="036C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276" w:type="dxa"/>
            <w:vMerge w:val="continue"/>
            <w:tcBorders>
              <w:top w:val="single" w:color="auto" w:sz="4" w:space="0"/>
              <w:left w:val="single" w:color="auto" w:sz="4" w:space="0"/>
              <w:bottom w:val="single" w:color="auto" w:sz="4" w:space="0"/>
              <w:right w:val="single" w:color="auto" w:sz="4" w:space="0"/>
            </w:tcBorders>
            <w:vAlign w:val="center"/>
          </w:tcPr>
          <w:p w14:paraId="4B677D6E">
            <w:pPr>
              <w:widowControl/>
              <w:jc w:val="left"/>
              <w:rPr>
                <w:rFonts w:cs="宋体" w:asciiTheme="minorEastAsia" w:hAnsiTheme="minorEastAsia" w:eastAsiaTheme="minorEastAsia"/>
                <w:b/>
                <w:bCs/>
                <w:color w:val="000000"/>
                <w:kern w:val="0"/>
                <w:szCs w:val="21"/>
              </w:rPr>
            </w:pPr>
          </w:p>
        </w:tc>
        <w:tc>
          <w:tcPr>
            <w:tcW w:w="1697" w:type="dxa"/>
            <w:tcBorders>
              <w:top w:val="single" w:color="auto" w:sz="4" w:space="0"/>
              <w:left w:val="single" w:color="auto" w:sz="4" w:space="0"/>
              <w:bottom w:val="single" w:color="auto" w:sz="4" w:space="0"/>
              <w:right w:val="single" w:color="auto" w:sz="4" w:space="0"/>
            </w:tcBorders>
            <w:vAlign w:val="center"/>
          </w:tcPr>
          <w:p w14:paraId="11A9B682">
            <w:pPr>
              <w:widowControl/>
              <w:spacing w:line="360" w:lineRule="auto"/>
              <w:jc w:val="center"/>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IVRS/IWRS系统的使用</w:t>
            </w:r>
          </w:p>
        </w:tc>
        <w:tc>
          <w:tcPr>
            <w:tcW w:w="5537" w:type="dxa"/>
            <w:tcBorders>
              <w:top w:val="single" w:color="auto" w:sz="4" w:space="0"/>
              <w:left w:val="single" w:color="auto" w:sz="4" w:space="0"/>
              <w:bottom w:val="single" w:color="auto" w:sz="4" w:space="0"/>
              <w:right w:val="single" w:color="auto" w:sz="4" w:space="0"/>
            </w:tcBorders>
            <w:vAlign w:val="center"/>
          </w:tcPr>
          <w:p w14:paraId="014F0B76">
            <w:pPr>
              <w:widowControl/>
              <w:spacing w:line="360" w:lineRule="auto"/>
              <w:jc w:val="lef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协助研究者登陆IVRS/IWRS系统，完成随机确认</w:t>
            </w:r>
          </w:p>
        </w:tc>
      </w:tr>
      <w:tr w14:paraId="548A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76" w:type="dxa"/>
            <w:vMerge w:val="restart"/>
            <w:tcBorders>
              <w:top w:val="single" w:color="auto" w:sz="4" w:space="0"/>
              <w:left w:val="single" w:color="auto" w:sz="4" w:space="0"/>
              <w:bottom w:val="single" w:color="auto" w:sz="4" w:space="0"/>
              <w:right w:val="single" w:color="auto" w:sz="4" w:space="0"/>
            </w:tcBorders>
            <w:vAlign w:val="center"/>
          </w:tcPr>
          <w:p w14:paraId="1835F6A4">
            <w:pPr>
              <w:widowControl/>
              <w:spacing w:line="360" w:lineRule="auto"/>
              <w:jc w:val="left"/>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研究药物及</w:t>
            </w:r>
          </w:p>
          <w:p w14:paraId="7EBB44B6">
            <w:pPr>
              <w:spacing w:line="360" w:lineRule="auto"/>
              <w:jc w:val="left"/>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其他物资管理</w:t>
            </w:r>
          </w:p>
        </w:tc>
        <w:tc>
          <w:tcPr>
            <w:tcW w:w="1697" w:type="dxa"/>
            <w:vMerge w:val="restart"/>
            <w:tcBorders>
              <w:top w:val="single" w:color="auto" w:sz="4" w:space="0"/>
              <w:left w:val="single" w:color="auto" w:sz="4" w:space="0"/>
              <w:bottom w:val="single" w:color="auto" w:sz="4" w:space="0"/>
              <w:right w:val="single" w:color="auto" w:sz="4" w:space="0"/>
            </w:tcBorders>
            <w:vAlign w:val="center"/>
          </w:tcPr>
          <w:p w14:paraId="0DD71C25">
            <w:pPr>
              <w:spacing w:line="360" w:lineRule="auto"/>
              <w:jc w:val="center"/>
              <w:rPr>
                <w:rFonts w:asciiTheme="minorEastAsia" w:hAnsiTheme="minorEastAsia" w:eastAsiaTheme="minorEastAsia"/>
                <w:color w:val="000000"/>
                <w:kern w:val="0"/>
                <w:szCs w:val="21"/>
              </w:rPr>
            </w:pPr>
          </w:p>
        </w:tc>
        <w:tc>
          <w:tcPr>
            <w:tcW w:w="5537" w:type="dxa"/>
            <w:tcBorders>
              <w:top w:val="single" w:color="auto" w:sz="4" w:space="0"/>
              <w:left w:val="single" w:color="auto" w:sz="4" w:space="0"/>
              <w:bottom w:val="single" w:color="auto" w:sz="4" w:space="0"/>
              <w:right w:val="single" w:color="auto" w:sz="4" w:space="0"/>
            </w:tcBorders>
            <w:vAlign w:val="center"/>
          </w:tcPr>
          <w:p w14:paraId="0590B883">
            <w:pPr>
              <w:widowControl/>
              <w:spacing w:line="360" w:lineRule="auto"/>
              <w:jc w:val="left"/>
              <w:rPr>
                <w:rFonts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协助研究者完成临床试验物品的管理和计数，包括试验物品的接收、保存、回收和归还；</w:t>
            </w:r>
          </w:p>
        </w:tc>
      </w:tr>
      <w:tr w14:paraId="4DD7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276" w:type="dxa"/>
            <w:vMerge w:val="continue"/>
            <w:tcBorders>
              <w:top w:val="single" w:color="auto" w:sz="4" w:space="0"/>
              <w:left w:val="single" w:color="auto" w:sz="4" w:space="0"/>
              <w:bottom w:val="single" w:color="auto" w:sz="4" w:space="0"/>
              <w:right w:val="single" w:color="auto" w:sz="4" w:space="0"/>
            </w:tcBorders>
            <w:vAlign w:val="center"/>
          </w:tcPr>
          <w:p w14:paraId="2AB7ADD6">
            <w:pPr>
              <w:widowControl/>
              <w:jc w:val="left"/>
              <w:rPr>
                <w:rFonts w:cs="宋体" w:asciiTheme="minorEastAsia" w:hAnsiTheme="minorEastAsia" w:eastAsiaTheme="minorEastAsia"/>
                <w:b/>
                <w:bCs/>
                <w:color w:val="000000"/>
                <w:kern w:val="0"/>
                <w:szCs w:val="21"/>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14:paraId="1F9F7D32">
            <w:pPr>
              <w:widowControl/>
              <w:jc w:val="left"/>
              <w:rPr>
                <w:rFonts w:asciiTheme="minorEastAsia" w:hAnsiTheme="minorEastAsia" w:eastAsiaTheme="minorEastAsia"/>
                <w:color w:val="000000"/>
                <w:kern w:val="0"/>
                <w:szCs w:val="21"/>
              </w:rPr>
            </w:pPr>
          </w:p>
        </w:tc>
        <w:tc>
          <w:tcPr>
            <w:tcW w:w="5537" w:type="dxa"/>
            <w:tcBorders>
              <w:top w:val="single" w:color="auto" w:sz="4" w:space="0"/>
              <w:left w:val="single" w:color="auto" w:sz="4" w:space="0"/>
              <w:bottom w:val="single" w:color="auto" w:sz="4" w:space="0"/>
              <w:right w:val="single" w:color="auto" w:sz="4" w:space="0"/>
            </w:tcBorders>
            <w:vAlign w:val="center"/>
          </w:tcPr>
          <w:p w14:paraId="1DE0C98B">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协助研究者完成相关表格的填写</w:t>
            </w:r>
          </w:p>
        </w:tc>
      </w:tr>
      <w:tr w14:paraId="4C1F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6" w:type="dxa"/>
            <w:vMerge w:val="continue"/>
            <w:tcBorders>
              <w:top w:val="single" w:color="auto" w:sz="4" w:space="0"/>
              <w:left w:val="single" w:color="auto" w:sz="4" w:space="0"/>
              <w:bottom w:val="single" w:color="auto" w:sz="4" w:space="0"/>
              <w:right w:val="single" w:color="auto" w:sz="4" w:space="0"/>
            </w:tcBorders>
            <w:vAlign w:val="center"/>
          </w:tcPr>
          <w:p w14:paraId="10ED6CBF">
            <w:pPr>
              <w:widowControl/>
              <w:jc w:val="left"/>
              <w:rPr>
                <w:rFonts w:cs="宋体" w:asciiTheme="minorEastAsia" w:hAnsiTheme="minorEastAsia" w:eastAsiaTheme="minorEastAsia"/>
                <w:b/>
                <w:bCs/>
                <w:color w:val="000000"/>
                <w:kern w:val="0"/>
                <w:szCs w:val="21"/>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14:paraId="2D099BB2">
            <w:pPr>
              <w:widowControl/>
              <w:jc w:val="left"/>
              <w:rPr>
                <w:rFonts w:asciiTheme="minorEastAsia" w:hAnsiTheme="minorEastAsia" w:eastAsiaTheme="minorEastAsia"/>
                <w:color w:val="000000"/>
                <w:kern w:val="0"/>
                <w:szCs w:val="21"/>
              </w:rPr>
            </w:pPr>
          </w:p>
        </w:tc>
        <w:tc>
          <w:tcPr>
            <w:tcW w:w="5537" w:type="dxa"/>
            <w:tcBorders>
              <w:top w:val="single" w:color="auto" w:sz="4" w:space="0"/>
              <w:left w:val="single" w:color="auto" w:sz="4" w:space="0"/>
              <w:bottom w:val="single" w:color="auto" w:sz="4" w:space="0"/>
              <w:right w:val="single" w:color="auto" w:sz="4" w:space="0"/>
            </w:tcBorders>
            <w:vAlign w:val="center"/>
          </w:tcPr>
          <w:p w14:paraId="3552C6AD">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关注试验物品库存情况，协助研究者联系CRA补充供应</w:t>
            </w:r>
          </w:p>
        </w:tc>
      </w:tr>
      <w:tr w14:paraId="1861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76" w:type="dxa"/>
            <w:vMerge w:val="restart"/>
            <w:tcBorders>
              <w:top w:val="single" w:color="auto" w:sz="4" w:space="0"/>
              <w:left w:val="single" w:color="auto" w:sz="4" w:space="0"/>
              <w:bottom w:val="single" w:color="auto" w:sz="4" w:space="0"/>
              <w:right w:val="single" w:color="auto" w:sz="4" w:space="0"/>
            </w:tcBorders>
            <w:vAlign w:val="center"/>
          </w:tcPr>
          <w:p w14:paraId="29EACF61">
            <w:pPr>
              <w:widowControl/>
              <w:spacing w:line="360" w:lineRule="auto"/>
              <w:jc w:val="left"/>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 xml:space="preserve">CRF填写/EDC录入 </w:t>
            </w:r>
          </w:p>
          <w:p w14:paraId="23383347">
            <w:pPr>
              <w:spacing w:line="360" w:lineRule="auto"/>
              <w:jc w:val="left"/>
              <w:rPr>
                <w:rFonts w:cs="宋体"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及解答质疑</w:t>
            </w:r>
          </w:p>
        </w:tc>
        <w:tc>
          <w:tcPr>
            <w:tcW w:w="1697" w:type="dxa"/>
            <w:tcBorders>
              <w:top w:val="single" w:color="auto" w:sz="4" w:space="0"/>
              <w:left w:val="single" w:color="auto" w:sz="4" w:space="0"/>
              <w:bottom w:val="single" w:color="auto" w:sz="4" w:space="0"/>
              <w:right w:val="single" w:color="auto" w:sz="4" w:space="0"/>
            </w:tcBorders>
            <w:vAlign w:val="center"/>
          </w:tcPr>
          <w:p w14:paraId="56B6D1A4">
            <w:pPr>
              <w:spacing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CRF填写</w:t>
            </w:r>
          </w:p>
        </w:tc>
        <w:tc>
          <w:tcPr>
            <w:tcW w:w="5537" w:type="dxa"/>
            <w:tcBorders>
              <w:top w:val="single" w:color="auto" w:sz="4" w:space="0"/>
              <w:left w:val="single" w:color="auto" w:sz="4" w:space="0"/>
              <w:bottom w:val="single" w:color="auto" w:sz="4" w:space="0"/>
              <w:right w:val="single" w:color="auto" w:sz="4" w:space="0"/>
            </w:tcBorders>
            <w:vAlign w:val="center"/>
          </w:tcPr>
          <w:p w14:paraId="03950A6D">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在研究者授权下协助研究者填写病例报告表及质疑解答（需要进行医学判断的答疑除外），并得到研究者的审阅及签字；并确保与原始数据的一致性</w:t>
            </w:r>
          </w:p>
        </w:tc>
      </w:tr>
      <w:tr w14:paraId="4BEC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76" w:type="dxa"/>
            <w:vMerge w:val="continue"/>
            <w:tcBorders>
              <w:top w:val="single" w:color="auto" w:sz="4" w:space="0"/>
              <w:left w:val="single" w:color="auto" w:sz="4" w:space="0"/>
              <w:bottom w:val="single" w:color="auto" w:sz="4" w:space="0"/>
              <w:right w:val="single" w:color="auto" w:sz="4" w:space="0"/>
            </w:tcBorders>
            <w:vAlign w:val="center"/>
          </w:tcPr>
          <w:p w14:paraId="700B83A5">
            <w:pPr>
              <w:widowControl/>
              <w:jc w:val="left"/>
              <w:rPr>
                <w:rFonts w:cs="宋体" w:asciiTheme="minorEastAsia" w:hAnsiTheme="minorEastAsia" w:eastAsiaTheme="minorEastAsia"/>
                <w:b/>
                <w:bCs/>
                <w:color w:val="000000"/>
                <w:kern w:val="0"/>
                <w:szCs w:val="21"/>
              </w:rPr>
            </w:pPr>
          </w:p>
        </w:tc>
        <w:tc>
          <w:tcPr>
            <w:tcW w:w="1697" w:type="dxa"/>
            <w:tcBorders>
              <w:top w:val="single" w:color="auto" w:sz="4" w:space="0"/>
              <w:left w:val="single" w:color="auto" w:sz="4" w:space="0"/>
              <w:bottom w:val="single" w:color="auto" w:sz="4" w:space="0"/>
              <w:right w:val="single" w:color="auto" w:sz="4" w:space="0"/>
            </w:tcBorders>
            <w:vAlign w:val="center"/>
          </w:tcPr>
          <w:p w14:paraId="1A7928E1">
            <w:pPr>
              <w:widowControl/>
              <w:spacing w:line="360" w:lineRule="auto"/>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信息采集、录入</w:t>
            </w:r>
          </w:p>
        </w:tc>
        <w:tc>
          <w:tcPr>
            <w:tcW w:w="5537" w:type="dxa"/>
            <w:tcBorders>
              <w:top w:val="single" w:color="auto" w:sz="4" w:space="0"/>
              <w:left w:val="single" w:color="auto" w:sz="4" w:space="0"/>
              <w:bottom w:val="single" w:color="auto" w:sz="4" w:space="0"/>
              <w:right w:val="single" w:color="auto" w:sz="4" w:space="0"/>
            </w:tcBorders>
            <w:vAlign w:val="center"/>
          </w:tcPr>
          <w:p w14:paraId="326AC1AA">
            <w:pPr>
              <w:widowControl/>
              <w:spacing w:line="360" w:lineRule="auto"/>
              <w:jc w:val="lef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完成受试者EDC数据录入，并对数据库中所提质疑与研究者沟通确认，提交质疑的解答，并获得研究者的最终审核确认</w:t>
            </w:r>
          </w:p>
        </w:tc>
      </w:tr>
      <w:tr w14:paraId="416A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14:paraId="4C42148C">
            <w:pPr>
              <w:widowControl/>
              <w:spacing w:line="360" w:lineRule="auto"/>
              <w:jc w:val="left"/>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试验标本管理</w:t>
            </w:r>
          </w:p>
        </w:tc>
        <w:tc>
          <w:tcPr>
            <w:tcW w:w="1697" w:type="dxa"/>
            <w:tcBorders>
              <w:top w:val="single" w:color="auto" w:sz="4" w:space="0"/>
              <w:left w:val="single" w:color="auto" w:sz="4" w:space="0"/>
              <w:bottom w:val="single" w:color="auto" w:sz="4" w:space="0"/>
              <w:right w:val="single" w:color="auto" w:sz="4" w:space="0"/>
            </w:tcBorders>
            <w:vAlign w:val="center"/>
          </w:tcPr>
          <w:p w14:paraId="0AD7ED36">
            <w:pPr>
              <w:widowControl/>
              <w:spacing w:line="360" w:lineRule="auto"/>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生物标志物标本</w:t>
            </w:r>
          </w:p>
        </w:tc>
        <w:tc>
          <w:tcPr>
            <w:tcW w:w="5537" w:type="dxa"/>
            <w:tcBorders>
              <w:top w:val="single" w:color="auto" w:sz="4" w:space="0"/>
              <w:left w:val="single" w:color="auto" w:sz="4" w:space="0"/>
              <w:bottom w:val="single" w:color="auto" w:sz="4" w:space="0"/>
              <w:right w:val="single" w:color="auto" w:sz="4" w:space="0"/>
            </w:tcBorders>
            <w:vAlign w:val="center"/>
          </w:tcPr>
          <w:p w14:paraId="539AEF58">
            <w:pPr>
              <w:widowControl/>
              <w:spacing w:line="360" w:lineRule="auto"/>
              <w:jc w:val="left"/>
              <w:rPr>
                <w:rFonts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协助研究者完成样本采集；</w:t>
            </w:r>
            <w:r>
              <w:rPr>
                <w:rFonts w:hint="eastAsia" w:asciiTheme="minorEastAsia" w:hAnsiTheme="minorEastAsia" w:eastAsiaTheme="minorEastAsia"/>
                <w:color w:val="000000"/>
                <w:kern w:val="0"/>
                <w:szCs w:val="21"/>
              </w:rPr>
              <w:t>协助研究者完成试验标本的处理、保存和运送工作</w:t>
            </w:r>
          </w:p>
        </w:tc>
      </w:tr>
      <w:tr w14:paraId="1671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14:paraId="55CD7D81">
            <w:pPr>
              <w:widowControl/>
              <w:spacing w:line="360" w:lineRule="auto"/>
              <w:jc w:val="left"/>
              <w:rPr>
                <w:rFonts w:asciiTheme="minorEastAsia" w:hAnsiTheme="minorEastAsia" w:eastAsiaTheme="minorEastAsia"/>
                <w:b/>
                <w:bCs/>
                <w:color w:val="000000"/>
                <w:kern w:val="0"/>
                <w:szCs w:val="21"/>
              </w:rPr>
            </w:pPr>
            <w:r>
              <w:rPr>
                <w:rFonts w:hint="eastAsia" w:asciiTheme="minorEastAsia" w:hAnsiTheme="minorEastAsia" w:eastAsiaTheme="minorEastAsia"/>
                <w:b/>
                <w:bCs/>
                <w:color w:val="000000"/>
                <w:kern w:val="0"/>
                <w:szCs w:val="21"/>
              </w:rPr>
              <w:t>CRA监查工作的配合</w:t>
            </w:r>
          </w:p>
        </w:tc>
        <w:tc>
          <w:tcPr>
            <w:tcW w:w="1697" w:type="dxa"/>
            <w:tcBorders>
              <w:top w:val="single" w:color="auto" w:sz="4" w:space="0"/>
              <w:left w:val="single" w:color="auto" w:sz="4" w:space="0"/>
              <w:bottom w:val="single" w:color="auto" w:sz="4" w:space="0"/>
              <w:right w:val="single" w:color="auto" w:sz="4" w:space="0"/>
            </w:tcBorders>
            <w:vAlign w:val="center"/>
          </w:tcPr>
          <w:p w14:paraId="0B9E2AD2">
            <w:pPr>
              <w:widowControl/>
              <w:spacing w:line="360" w:lineRule="auto"/>
              <w:jc w:val="center"/>
              <w:rPr>
                <w:rFonts w:asciiTheme="minorEastAsia" w:hAnsiTheme="minorEastAsia" w:eastAsiaTheme="minorEastAsia"/>
                <w:color w:val="000000"/>
                <w:kern w:val="0"/>
                <w:szCs w:val="21"/>
              </w:rPr>
            </w:pPr>
          </w:p>
          <w:p w14:paraId="09F01C44">
            <w:pPr>
              <w:widowControl/>
              <w:spacing w:line="360" w:lineRule="auto"/>
              <w:jc w:val="center"/>
              <w:rPr>
                <w:rFonts w:asciiTheme="minorEastAsia" w:hAnsiTheme="minorEastAsia" w:eastAsiaTheme="minorEastAsia"/>
                <w:color w:val="000000"/>
                <w:kern w:val="0"/>
                <w:szCs w:val="21"/>
              </w:rPr>
            </w:pPr>
          </w:p>
        </w:tc>
        <w:tc>
          <w:tcPr>
            <w:tcW w:w="5537" w:type="dxa"/>
            <w:tcBorders>
              <w:top w:val="single" w:color="auto" w:sz="4" w:space="0"/>
              <w:left w:val="single" w:color="auto" w:sz="4" w:space="0"/>
              <w:bottom w:val="single" w:color="auto" w:sz="4" w:space="0"/>
              <w:right w:val="single" w:color="auto" w:sz="4" w:space="0"/>
            </w:tcBorders>
            <w:vAlign w:val="center"/>
          </w:tcPr>
          <w:p w14:paraId="64911BCA">
            <w:pPr>
              <w:widowControl/>
              <w:spacing w:line="360" w:lineRule="auto"/>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CRC协助监查过程。协调CRA的中心访视工作，提前准备各种文档供CRA监查；在研究者授权下协助研究者进行质疑解答（涉及医学判断的答疑除外）</w:t>
            </w:r>
          </w:p>
        </w:tc>
      </w:tr>
      <w:tr w14:paraId="25AD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14:paraId="5B5D6370">
            <w:pPr>
              <w:widowControl/>
              <w:spacing w:line="360" w:lineRule="auto"/>
              <w:jc w:val="left"/>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申办方</w:t>
            </w:r>
            <w:ins w:id="1" w:author="机构lv" w:date="2020-12-15T16:52:00Z">
              <w:r>
                <w:rPr>
                  <w:rFonts w:hint="eastAsia" w:cs="宋体" w:asciiTheme="minorEastAsia" w:hAnsiTheme="minorEastAsia" w:eastAsiaTheme="minorEastAsia"/>
                  <w:b/>
                  <w:bCs/>
                  <w:color w:val="000000"/>
                  <w:kern w:val="0"/>
                  <w:szCs w:val="21"/>
                </w:rPr>
                <w:t>稽查</w:t>
              </w:r>
            </w:ins>
            <w:r>
              <w:rPr>
                <w:rFonts w:hint="eastAsia" w:cs="宋体" w:asciiTheme="minorEastAsia" w:hAnsiTheme="minorEastAsia" w:eastAsiaTheme="minorEastAsia"/>
                <w:b/>
                <w:bCs/>
                <w:color w:val="000000"/>
                <w:kern w:val="0"/>
                <w:szCs w:val="21"/>
              </w:rPr>
              <w:t>或管理部门</w:t>
            </w:r>
            <w:ins w:id="2" w:author="机构lv" w:date="2020-12-15T16:51:00Z">
              <w:r>
                <w:rPr>
                  <w:rFonts w:hint="eastAsia" w:cs="宋体" w:asciiTheme="minorEastAsia" w:hAnsiTheme="minorEastAsia" w:eastAsiaTheme="minorEastAsia"/>
                  <w:b/>
                  <w:bCs/>
                  <w:color w:val="000000"/>
                  <w:kern w:val="0"/>
                  <w:szCs w:val="21"/>
                </w:rPr>
                <w:t>检查</w:t>
              </w:r>
            </w:ins>
            <w:r>
              <w:rPr>
                <w:rFonts w:hint="eastAsia" w:cs="宋体" w:asciiTheme="minorEastAsia" w:hAnsiTheme="minorEastAsia" w:eastAsiaTheme="minorEastAsia"/>
                <w:b/>
                <w:bCs/>
                <w:color w:val="000000"/>
                <w:kern w:val="0"/>
                <w:szCs w:val="21"/>
              </w:rPr>
              <w:t>的配合和协调</w:t>
            </w:r>
          </w:p>
        </w:tc>
        <w:tc>
          <w:tcPr>
            <w:tcW w:w="1697" w:type="dxa"/>
            <w:tcBorders>
              <w:top w:val="single" w:color="auto" w:sz="4" w:space="0"/>
              <w:left w:val="single" w:color="auto" w:sz="4" w:space="0"/>
              <w:bottom w:val="single" w:color="auto" w:sz="4" w:space="0"/>
              <w:right w:val="single" w:color="auto" w:sz="4" w:space="0"/>
            </w:tcBorders>
            <w:vAlign w:val="center"/>
          </w:tcPr>
          <w:p w14:paraId="5804C600">
            <w:pPr>
              <w:widowControl/>
              <w:spacing w:line="360" w:lineRule="auto"/>
              <w:jc w:val="center"/>
              <w:rPr>
                <w:rFonts w:asciiTheme="minorEastAsia" w:hAnsiTheme="minorEastAsia" w:eastAsiaTheme="minorEastAsia"/>
                <w:color w:val="000000"/>
                <w:kern w:val="0"/>
                <w:szCs w:val="21"/>
              </w:rPr>
            </w:pPr>
          </w:p>
          <w:p w14:paraId="4FE62916">
            <w:pPr>
              <w:widowControl/>
              <w:spacing w:line="360" w:lineRule="auto"/>
              <w:jc w:val="center"/>
              <w:rPr>
                <w:rFonts w:asciiTheme="minorEastAsia" w:hAnsiTheme="minorEastAsia" w:eastAsiaTheme="minorEastAsia"/>
                <w:color w:val="000000"/>
                <w:kern w:val="0"/>
                <w:szCs w:val="21"/>
              </w:rPr>
            </w:pPr>
          </w:p>
        </w:tc>
        <w:tc>
          <w:tcPr>
            <w:tcW w:w="5537" w:type="dxa"/>
            <w:tcBorders>
              <w:top w:val="single" w:color="auto" w:sz="4" w:space="0"/>
              <w:left w:val="single" w:color="auto" w:sz="4" w:space="0"/>
              <w:bottom w:val="single" w:color="auto" w:sz="4" w:space="0"/>
              <w:right w:val="single" w:color="auto" w:sz="4" w:space="0"/>
            </w:tcBorders>
            <w:vAlign w:val="center"/>
          </w:tcPr>
          <w:p w14:paraId="1AA0ED8D">
            <w:pPr>
              <w:widowControl/>
              <w:spacing w:line="360" w:lineRule="auto"/>
              <w:jc w:val="lef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CRC陪同稽查或</w:t>
            </w:r>
            <w:ins w:id="3" w:author="机构lv" w:date="2020-12-15T16:51:00Z">
              <w:r>
                <w:rPr>
                  <w:rFonts w:hint="eastAsia" w:asciiTheme="minorEastAsia" w:hAnsiTheme="minorEastAsia" w:eastAsiaTheme="minorEastAsia"/>
                  <w:color w:val="000000"/>
                  <w:kern w:val="0"/>
                  <w:szCs w:val="21"/>
                </w:rPr>
                <w:t>检查</w:t>
              </w:r>
            </w:ins>
            <w:r>
              <w:rPr>
                <w:rFonts w:hint="eastAsia" w:asciiTheme="minorEastAsia" w:hAnsiTheme="minorEastAsia" w:eastAsiaTheme="minorEastAsia"/>
                <w:color w:val="000000"/>
                <w:kern w:val="0"/>
                <w:szCs w:val="21"/>
              </w:rPr>
              <w:t>过程。</w:t>
            </w:r>
            <w:r>
              <w:rPr>
                <w:rFonts w:hint="eastAsia" w:cs="宋体" w:asciiTheme="minorEastAsia" w:hAnsiTheme="minorEastAsia" w:eastAsiaTheme="minorEastAsia"/>
                <w:color w:val="000000"/>
                <w:kern w:val="0"/>
                <w:szCs w:val="21"/>
              </w:rPr>
              <w:t>协助研究者配合与协调申办方或管理部门的稽查和</w:t>
            </w:r>
            <w:ins w:id="4" w:author="机构lv" w:date="2020-12-15T16:51:00Z">
              <w:r>
                <w:rPr>
                  <w:rFonts w:hint="eastAsia" w:asciiTheme="minorEastAsia" w:hAnsiTheme="minorEastAsia" w:eastAsiaTheme="minorEastAsia"/>
                  <w:color w:val="000000"/>
                  <w:kern w:val="0"/>
                  <w:szCs w:val="21"/>
                </w:rPr>
                <w:t>检查</w:t>
              </w:r>
            </w:ins>
            <w:r>
              <w:rPr>
                <w:rFonts w:hint="eastAsia" w:cs="宋体" w:asciiTheme="minorEastAsia" w:hAnsiTheme="minorEastAsia" w:eastAsiaTheme="minorEastAsia"/>
                <w:color w:val="000000"/>
                <w:kern w:val="0"/>
                <w:szCs w:val="21"/>
              </w:rPr>
              <w:t>，提前准备各种文档，在研究者授权下协助研究者进行质疑解答（涉及医学判断的答疑除外）</w:t>
            </w:r>
          </w:p>
        </w:tc>
      </w:tr>
      <w:tr w14:paraId="1D4A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14:paraId="6153473A">
            <w:pPr>
              <w:widowControl/>
              <w:spacing w:line="360" w:lineRule="auto"/>
              <w:jc w:val="left"/>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多方沟通及记录</w:t>
            </w:r>
          </w:p>
        </w:tc>
        <w:tc>
          <w:tcPr>
            <w:tcW w:w="1697" w:type="dxa"/>
            <w:tcBorders>
              <w:top w:val="single" w:color="auto" w:sz="4" w:space="0"/>
              <w:left w:val="single" w:color="auto" w:sz="4" w:space="0"/>
              <w:bottom w:val="single" w:color="auto" w:sz="4" w:space="0"/>
              <w:right w:val="single" w:color="auto" w:sz="4" w:space="0"/>
            </w:tcBorders>
            <w:vAlign w:val="center"/>
          </w:tcPr>
          <w:p w14:paraId="3B7A3CEF">
            <w:pPr>
              <w:widowControl/>
              <w:spacing w:line="360" w:lineRule="auto"/>
              <w:jc w:val="center"/>
              <w:rPr>
                <w:rFonts w:asciiTheme="minorEastAsia" w:hAnsiTheme="minorEastAsia" w:eastAsiaTheme="minorEastAsia"/>
                <w:color w:val="000000"/>
                <w:kern w:val="0"/>
                <w:szCs w:val="21"/>
              </w:rPr>
            </w:pPr>
          </w:p>
        </w:tc>
        <w:tc>
          <w:tcPr>
            <w:tcW w:w="5537" w:type="dxa"/>
            <w:tcBorders>
              <w:top w:val="single" w:color="auto" w:sz="4" w:space="0"/>
              <w:left w:val="single" w:color="auto" w:sz="4" w:space="0"/>
              <w:bottom w:val="single" w:color="auto" w:sz="4" w:space="0"/>
              <w:right w:val="single" w:color="auto" w:sz="4" w:space="0"/>
            </w:tcBorders>
            <w:vAlign w:val="center"/>
          </w:tcPr>
          <w:p w14:paraId="0AF00584">
            <w:pPr>
              <w:widowControl/>
              <w:spacing w:line="360" w:lineRule="auto"/>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按照试验计划与中心人员及申办方等进行全面的沟通（邮件、口头、传真）并记录</w:t>
            </w:r>
          </w:p>
        </w:tc>
      </w:tr>
      <w:tr w14:paraId="6081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14:paraId="3C0E2341">
            <w:pPr>
              <w:widowControl/>
              <w:spacing w:line="360" w:lineRule="auto"/>
              <w:jc w:val="left"/>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票据管理</w:t>
            </w:r>
          </w:p>
        </w:tc>
        <w:tc>
          <w:tcPr>
            <w:tcW w:w="1697" w:type="dxa"/>
            <w:tcBorders>
              <w:top w:val="single" w:color="auto" w:sz="4" w:space="0"/>
              <w:left w:val="single" w:color="auto" w:sz="4" w:space="0"/>
              <w:bottom w:val="single" w:color="auto" w:sz="4" w:space="0"/>
              <w:right w:val="single" w:color="auto" w:sz="4" w:space="0"/>
            </w:tcBorders>
            <w:vAlign w:val="center"/>
          </w:tcPr>
          <w:p w14:paraId="3A00CE61">
            <w:pPr>
              <w:widowControl/>
              <w:spacing w:line="360" w:lineRule="auto"/>
              <w:jc w:val="center"/>
              <w:rPr>
                <w:rFonts w:asciiTheme="minorEastAsia" w:hAnsiTheme="minorEastAsia" w:eastAsiaTheme="minorEastAsia"/>
                <w:color w:val="000000"/>
                <w:kern w:val="0"/>
                <w:szCs w:val="21"/>
              </w:rPr>
            </w:pPr>
          </w:p>
        </w:tc>
        <w:tc>
          <w:tcPr>
            <w:tcW w:w="5537" w:type="dxa"/>
            <w:tcBorders>
              <w:top w:val="single" w:color="auto" w:sz="4" w:space="0"/>
              <w:left w:val="single" w:color="auto" w:sz="4" w:space="0"/>
              <w:bottom w:val="single" w:color="auto" w:sz="4" w:space="0"/>
              <w:right w:val="single" w:color="auto" w:sz="4" w:space="0"/>
            </w:tcBorders>
            <w:vAlign w:val="center"/>
          </w:tcPr>
          <w:p w14:paraId="564F4F10">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收集受试者检查费、交通补贴票据，汇总AE相关费用</w:t>
            </w:r>
          </w:p>
        </w:tc>
      </w:tr>
      <w:tr w14:paraId="40AE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14:paraId="1FB7A5EA">
            <w:pPr>
              <w:widowControl/>
              <w:spacing w:line="360" w:lineRule="auto"/>
              <w:jc w:val="left"/>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培训</w:t>
            </w:r>
          </w:p>
        </w:tc>
        <w:tc>
          <w:tcPr>
            <w:tcW w:w="1697" w:type="dxa"/>
            <w:tcBorders>
              <w:top w:val="single" w:color="auto" w:sz="4" w:space="0"/>
              <w:left w:val="single" w:color="auto" w:sz="4" w:space="0"/>
              <w:bottom w:val="single" w:color="auto" w:sz="4" w:space="0"/>
              <w:right w:val="single" w:color="auto" w:sz="4" w:space="0"/>
            </w:tcBorders>
            <w:vAlign w:val="center"/>
          </w:tcPr>
          <w:p w14:paraId="3BA356F7">
            <w:pPr>
              <w:widowControl/>
              <w:spacing w:line="360" w:lineRule="auto"/>
              <w:jc w:val="center"/>
              <w:rPr>
                <w:rFonts w:asciiTheme="minorEastAsia" w:hAnsiTheme="minorEastAsia" w:eastAsiaTheme="minorEastAsia"/>
                <w:color w:val="000000"/>
                <w:kern w:val="0"/>
                <w:szCs w:val="21"/>
              </w:rPr>
            </w:pPr>
          </w:p>
        </w:tc>
        <w:tc>
          <w:tcPr>
            <w:tcW w:w="5537" w:type="dxa"/>
            <w:tcBorders>
              <w:top w:val="single" w:color="auto" w:sz="4" w:space="0"/>
              <w:left w:val="single" w:color="auto" w:sz="4" w:space="0"/>
              <w:bottom w:val="single" w:color="auto" w:sz="4" w:space="0"/>
              <w:right w:val="single" w:color="auto" w:sz="4" w:space="0"/>
            </w:tcBorders>
            <w:vAlign w:val="center"/>
          </w:tcPr>
          <w:p w14:paraId="1DB629AB">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接受申办方、研究者的培训，包括方案及方案涉及操作、EDC培训、随机系统的培训，药品管理SOP培训等</w:t>
            </w:r>
          </w:p>
        </w:tc>
      </w:tr>
      <w:tr w14:paraId="7669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14:paraId="33CAE976">
            <w:pPr>
              <w:widowControl/>
              <w:spacing w:line="360" w:lineRule="auto"/>
              <w:jc w:val="left"/>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其他</w:t>
            </w:r>
          </w:p>
        </w:tc>
        <w:tc>
          <w:tcPr>
            <w:tcW w:w="1697" w:type="dxa"/>
            <w:tcBorders>
              <w:top w:val="single" w:color="auto" w:sz="4" w:space="0"/>
              <w:left w:val="single" w:color="auto" w:sz="4" w:space="0"/>
              <w:bottom w:val="single" w:color="auto" w:sz="4" w:space="0"/>
              <w:right w:val="single" w:color="auto" w:sz="4" w:space="0"/>
            </w:tcBorders>
            <w:vAlign w:val="center"/>
          </w:tcPr>
          <w:p w14:paraId="0F70E794">
            <w:pPr>
              <w:widowControl/>
              <w:spacing w:line="360" w:lineRule="auto"/>
              <w:jc w:val="center"/>
              <w:rPr>
                <w:rFonts w:asciiTheme="minorEastAsia" w:hAnsiTheme="minorEastAsia" w:eastAsiaTheme="minorEastAsia"/>
                <w:color w:val="000000"/>
                <w:kern w:val="0"/>
                <w:szCs w:val="21"/>
              </w:rPr>
            </w:pPr>
          </w:p>
        </w:tc>
        <w:tc>
          <w:tcPr>
            <w:tcW w:w="5537" w:type="dxa"/>
            <w:tcBorders>
              <w:top w:val="single" w:color="auto" w:sz="4" w:space="0"/>
              <w:left w:val="single" w:color="auto" w:sz="4" w:space="0"/>
              <w:bottom w:val="single" w:color="auto" w:sz="4" w:space="0"/>
              <w:right w:val="single" w:color="auto" w:sz="4" w:space="0"/>
            </w:tcBorders>
            <w:vAlign w:val="center"/>
          </w:tcPr>
          <w:p w14:paraId="7FB84F72">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协助研究者完成临床试验的其他相关工作。</w:t>
            </w:r>
          </w:p>
        </w:tc>
      </w:tr>
    </w:tbl>
    <w:p w14:paraId="33491FB4">
      <w:pPr>
        <w:spacing w:line="360" w:lineRule="auto"/>
        <w:rPr>
          <w:sz w:val="24"/>
          <w:szCs w:val="24"/>
        </w:rPr>
      </w:pPr>
    </w:p>
    <w:p w14:paraId="65A20060">
      <w:pPr>
        <w:spacing w:line="360" w:lineRule="auto"/>
        <w:rPr>
          <w:sz w:val="28"/>
          <w:szCs w:val="28"/>
        </w:rPr>
      </w:pPr>
    </w:p>
    <w:p w14:paraId="4BA0EFA4">
      <w:pPr>
        <w:spacing w:line="360" w:lineRule="auto"/>
        <w:rPr>
          <w:sz w:val="24"/>
          <w:szCs w:val="24"/>
        </w:rPr>
      </w:pPr>
    </w:p>
    <w:sectPr>
      <w:pgSz w:w="11906" w:h="16838"/>
      <w:pgMar w:top="1134" w:right="1701" w:bottom="1418" w:left="127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微软用户" w:date="2018-08-17T10:15:00Z" w:initials="微软用户">
    <w:p w14:paraId="5B7E1C33">
      <w:pPr>
        <w:pStyle w:val="3"/>
      </w:pPr>
      <w:r>
        <w:rPr>
          <w:rFonts w:hint="eastAsia"/>
        </w:rPr>
        <w:t>甲方可为申办方或者CRO公司。</w:t>
      </w:r>
    </w:p>
  </w:comment>
  <w:comment w:id="1" w:author="whz" w:date="2022-07-12T14:33:58Z" w:initials="w">
    <w:p w14:paraId="7FF75B0F">
      <w:pPr>
        <w:pStyle w:val="3"/>
        <w:rPr>
          <w:rFonts w:hint="eastAsia"/>
          <w:lang w:eastAsia="zh-CN"/>
        </w:rPr>
      </w:pPr>
      <w:r>
        <w:rPr>
          <w:rFonts w:hint="eastAsia"/>
          <w:lang w:eastAsia="zh-CN"/>
        </w:rPr>
        <w:t>此处描述可根据实际费用支付情况修改，但需保证与主合同中约定一致。</w:t>
      </w:r>
    </w:p>
    <w:p w14:paraId="BE5C6A5B">
      <w:pPr>
        <w:pStyle w:val="3"/>
        <w:rPr>
          <w:rFonts w:hint="eastAsia"/>
          <w:lang w:eastAsia="zh-CN"/>
        </w:rPr>
      </w:pPr>
      <w:r>
        <w:rPr>
          <w:rFonts w:hint="eastAsia"/>
          <w:lang w:eastAsia="zh-CN"/>
        </w:rPr>
        <w:t>首次发送审核时请在此回复后发送。</w:t>
      </w:r>
    </w:p>
  </w:comment>
  <w:comment w:id="2" w:author="whz" w:date="2022-09-06T09:00:51Z" w:initials="w">
    <w:p w14:paraId="FFB9BAA6">
      <w:pPr>
        <w:pStyle w:val="3"/>
        <w:rPr>
          <w:rFonts w:hint="eastAsia" w:eastAsia="宋体"/>
          <w:lang w:val="en-US" w:eastAsia="zh-CN"/>
        </w:rPr>
      </w:pPr>
      <w:r>
        <w:rPr>
          <w:rFonts w:hint="eastAsia"/>
          <w:lang w:val="en-US" w:eastAsia="zh-CN"/>
        </w:rPr>
        <w:t>CRC协议应在主合同签署日期之后或同一天，请主合同签署同时或之后递交机构办进行签署。</w:t>
      </w:r>
    </w:p>
  </w:comment>
  <w:comment w:id="3" w:author="whz" w:date="2022-09-06T08:59:36Z" w:initials="w">
    <w:p w14:paraId="71FD2843">
      <w:pPr>
        <w:pStyle w:val="3"/>
        <w:rPr>
          <w:rFonts w:hint="eastAsia" w:eastAsia="宋体"/>
          <w:lang w:eastAsia="zh-CN"/>
        </w:rPr>
      </w:pPr>
      <w:r>
        <w:rPr>
          <w:rFonts w:hint="eastAsia"/>
          <w:lang w:eastAsia="zh-CN"/>
        </w:rPr>
        <w:t>原则上此处应为公司法人，机打职务及姓名，需与实际签字人保持一致</w:t>
      </w:r>
    </w:p>
  </w:comment>
  <w:comment w:id="4" w:author="whz" w:date="2022-09-06T09:00:39Z" w:initials="w">
    <w:p w14:paraId="6E5A06A5">
      <w:pPr>
        <w:pStyle w:val="3"/>
        <w:rPr>
          <w:rFonts w:hint="eastAsia" w:eastAsia="宋体"/>
          <w:lang w:eastAsia="zh-CN"/>
        </w:rPr>
      </w:pPr>
      <w:r>
        <w:rPr>
          <w:rFonts w:hint="eastAsia"/>
          <w:lang w:eastAsia="zh-CN"/>
        </w:rPr>
        <w:t>原则上此处应为公司法人，机打职务及姓名，需与实际签字人保持一致</w:t>
      </w:r>
    </w:p>
    <w:p w14:paraId="6D7F7AC2">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7E1C33" w15:done="0"/>
  <w15:commentEx w15:paraId="BE5C6A5B" w15:done="0"/>
  <w15:commentEx w15:paraId="FFB9BAA6" w15:done="0"/>
  <w15:commentEx w15:paraId="71FD2843" w15:done="0"/>
  <w15:commentEx w15:paraId="6D7F7A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宋体..鄶齷.">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pPr w:leftFromText="187" w:rightFromText="187" w:vertAnchor="text" w:tblpY="1"/>
      <w:tblW w:w="9147" w:type="dxa"/>
      <w:tblInd w:w="0" w:type="dxa"/>
      <w:tblLayout w:type="fixed"/>
      <w:tblCellMar>
        <w:top w:w="0" w:type="dxa"/>
        <w:left w:w="108" w:type="dxa"/>
        <w:bottom w:w="0" w:type="dxa"/>
        <w:right w:w="108" w:type="dxa"/>
      </w:tblCellMar>
    </w:tblPr>
    <w:tblGrid>
      <w:gridCol w:w="4116"/>
      <w:gridCol w:w="915"/>
      <w:gridCol w:w="4116"/>
    </w:tblGrid>
    <w:tr w14:paraId="739D9D78">
      <w:trPr>
        <w:trHeight w:val="151" w:hRule="atLeast"/>
      </w:trPr>
      <w:tc>
        <w:tcPr>
          <w:tcW w:w="4116" w:type="dxa"/>
          <w:tcBorders>
            <w:bottom w:val="single" w:color="4F81BD" w:themeColor="accent1" w:sz="4" w:space="0"/>
          </w:tcBorders>
        </w:tcPr>
        <w:p w14:paraId="1848D7AB">
          <w:pPr>
            <w:pStyle w:val="10"/>
            <w:rPr>
              <w:rFonts w:asciiTheme="majorHAnsi" w:hAnsiTheme="majorHAnsi" w:eastAsiaTheme="majorEastAsia" w:cstheme="majorBidi"/>
              <w:b/>
              <w:bCs/>
            </w:rPr>
          </w:pPr>
        </w:p>
      </w:tc>
      <w:tc>
        <w:tcPr>
          <w:tcW w:w="915" w:type="dxa"/>
          <w:vMerge w:val="restart"/>
          <w:vAlign w:val="center"/>
        </w:tcPr>
        <w:p w14:paraId="19F950C7">
          <w:pPr>
            <w:pStyle w:val="36"/>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8</w:t>
          </w:r>
          <w:r>
            <w:rPr>
              <w:rFonts w:asciiTheme="majorHAnsi" w:hAnsiTheme="majorHAnsi"/>
              <w:b/>
              <w:lang w:val="zh-CN"/>
            </w:rPr>
            <w:fldChar w:fldCharType="end"/>
          </w:r>
          <w:r>
            <w:rPr>
              <w:rFonts w:hint="eastAsia"/>
            </w:rPr>
            <w:t>/9</w:t>
          </w:r>
        </w:p>
      </w:tc>
      <w:tc>
        <w:tcPr>
          <w:tcW w:w="4116" w:type="dxa"/>
          <w:tcBorders>
            <w:bottom w:val="single" w:color="4F81BD" w:themeColor="accent1" w:sz="4" w:space="0"/>
          </w:tcBorders>
        </w:tcPr>
        <w:p w14:paraId="04EEA741">
          <w:pPr>
            <w:pStyle w:val="10"/>
            <w:rPr>
              <w:rFonts w:asciiTheme="majorHAnsi" w:hAnsiTheme="majorHAnsi" w:eastAsiaTheme="majorEastAsia" w:cstheme="majorBidi"/>
              <w:b/>
              <w:bCs/>
            </w:rPr>
          </w:pPr>
        </w:p>
      </w:tc>
    </w:tr>
    <w:tr w14:paraId="0C83BA76">
      <w:tblPrEx>
        <w:tblCellMar>
          <w:top w:w="0" w:type="dxa"/>
          <w:left w:w="108" w:type="dxa"/>
          <w:bottom w:w="0" w:type="dxa"/>
          <w:right w:w="108" w:type="dxa"/>
        </w:tblCellMar>
      </w:tblPrEx>
      <w:trPr>
        <w:trHeight w:val="150" w:hRule="atLeast"/>
      </w:trPr>
      <w:tc>
        <w:tcPr>
          <w:tcW w:w="4116" w:type="dxa"/>
          <w:tcBorders>
            <w:top w:val="single" w:color="4F81BD" w:themeColor="accent1" w:sz="4" w:space="0"/>
          </w:tcBorders>
        </w:tcPr>
        <w:p w14:paraId="4529B5E7">
          <w:pPr>
            <w:pStyle w:val="10"/>
            <w:rPr>
              <w:rFonts w:asciiTheme="majorHAnsi" w:hAnsiTheme="majorHAnsi" w:eastAsiaTheme="majorEastAsia" w:cstheme="majorBidi"/>
              <w:b/>
              <w:bCs/>
            </w:rPr>
          </w:pPr>
        </w:p>
      </w:tc>
      <w:tc>
        <w:tcPr>
          <w:tcW w:w="915" w:type="dxa"/>
          <w:vMerge w:val="continue"/>
        </w:tcPr>
        <w:p w14:paraId="2A9AFB7B">
          <w:pPr>
            <w:pStyle w:val="10"/>
            <w:rPr>
              <w:rFonts w:asciiTheme="majorHAnsi" w:hAnsiTheme="majorHAnsi" w:eastAsiaTheme="majorEastAsia" w:cstheme="majorBidi"/>
              <w:b/>
              <w:bCs/>
            </w:rPr>
          </w:pPr>
        </w:p>
      </w:tc>
      <w:tc>
        <w:tcPr>
          <w:tcW w:w="4116" w:type="dxa"/>
          <w:tcBorders>
            <w:top w:val="single" w:color="4F81BD" w:themeColor="accent1" w:sz="4" w:space="0"/>
          </w:tcBorders>
        </w:tcPr>
        <w:p w14:paraId="7E72DF73">
          <w:pPr>
            <w:pStyle w:val="10"/>
            <w:rPr>
              <w:rFonts w:asciiTheme="majorHAnsi" w:hAnsiTheme="majorHAnsi" w:eastAsiaTheme="majorEastAsia" w:cstheme="majorBidi"/>
              <w:b/>
              <w:bCs/>
            </w:rPr>
          </w:pPr>
        </w:p>
      </w:tc>
    </w:tr>
  </w:tbl>
  <w:p w14:paraId="7FB99F08">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0DC13">
    <w:pPr>
      <w:pStyle w:val="10"/>
      <w:tabs>
        <w:tab w:val="left" w:pos="3315"/>
        <w:tab w:val="right" w:pos="8931"/>
      </w:tabs>
      <w:jc w:val="left"/>
    </w:pPr>
    <w:ins w:id="0" w:author="lvgb" w:date="2019-11-08T09:33:00Z">
      <w:r>
        <w:rPr>
          <w:rFonts w:hint="eastAsia"/>
          <w:bCs/>
        </w:rPr>
        <w:t>方案编号</w:t>
      </w:r>
    </w:ins>
    <w:r>
      <w:rPr>
        <w:rFonts w:hint="eastAsia"/>
        <w:bCs/>
      </w:rPr>
      <w:t>*********</w:t>
    </w:r>
    <w:r>
      <w:tab/>
    </w:r>
    <w:r>
      <w:rPr>
        <w:rFonts w:hint="eastAsia"/>
      </w:rPr>
      <w:t xml:space="preserve">             </w:t>
    </w:r>
    <w:r>
      <w:t xml:space="preserve"> </w:t>
    </w:r>
    <w:r>
      <w:rPr>
        <w:rFonts w:hint="eastAsia"/>
      </w:rPr>
      <w:t xml:space="preserve">   </w:t>
    </w:r>
    <w:r>
      <w:t xml:space="preserve"> </w:t>
    </w:r>
    <w:r>
      <w:rPr>
        <w:rFonts w:hint="eastAsia"/>
      </w:rPr>
      <w:t xml:space="preserve">                                CRC三方协议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0525F"/>
    <w:multiLevelType w:val="multilevel"/>
    <w:tmpl w:val="0610525F"/>
    <w:lvl w:ilvl="0" w:tentative="0">
      <w:start w:val="1"/>
      <w:numFmt w:val="decimal"/>
      <w:pStyle w:val="23"/>
      <w:lvlText w:val="%1"/>
      <w:lvlJc w:val="left"/>
      <w:pPr>
        <w:tabs>
          <w:tab w:val="left" w:pos="567"/>
        </w:tabs>
        <w:ind w:left="567" w:hanging="567"/>
      </w:pPr>
      <w:rPr>
        <w:rFonts w:hint="default" w:ascii="Times New Roman" w:hAnsi="Times New Roman" w:eastAsia="宋体"/>
        <w:b/>
        <w:i w:val="0"/>
        <w:caps w:val="0"/>
        <w:strike w:val="0"/>
        <w:dstrike w:val="0"/>
        <w:color w:val="auto"/>
        <w:spacing w:val="0"/>
        <w:w w:val="100"/>
        <w:position w:val="0"/>
        <w:sz w:val="24"/>
        <w:szCs w:val="24"/>
      </w:rPr>
    </w:lvl>
    <w:lvl w:ilvl="1" w:tentative="0">
      <w:start w:val="1"/>
      <w:numFmt w:val="decimal"/>
      <w:lvlText w:val="%1.%2"/>
      <w:lvlJc w:val="left"/>
      <w:pPr>
        <w:tabs>
          <w:tab w:val="left" w:pos="1134"/>
        </w:tabs>
        <w:ind w:left="1134" w:hanging="567"/>
      </w:pPr>
      <w:rPr>
        <w:rFonts w:hint="default" w:ascii="Times New Roman" w:hAnsi="Times New Roman" w:eastAsia="宋体"/>
        <w:b/>
        <w:i w:val="0"/>
        <w:sz w:val="24"/>
        <w:szCs w:val="24"/>
      </w:rPr>
    </w:lvl>
    <w:lvl w:ilvl="2" w:tentative="0">
      <w:start w:val="1"/>
      <w:numFmt w:val="decimal"/>
      <w:lvlText w:val="%1.%2.%3"/>
      <w:lvlJc w:val="left"/>
      <w:pPr>
        <w:tabs>
          <w:tab w:val="left" w:pos="1985"/>
        </w:tabs>
        <w:ind w:left="1985" w:hanging="851"/>
      </w:pPr>
      <w:rPr>
        <w:rFonts w:hint="default" w:ascii="Times New Roman" w:hAnsi="Times New Roman"/>
        <w:b/>
        <w:i w:val="0"/>
      </w:rPr>
    </w:lvl>
    <w:lvl w:ilvl="3" w:tentative="0">
      <w:start w:val="1"/>
      <w:numFmt w:val="decimal"/>
      <w:lvlText w:val="%1.%2.%3.%4"/>
      <w:lvlJc w:val="left"/>
      <w:pPr>
        <w:tabs>
          <w:tab w:val="left" w:pos="2214"/>
        </w:tabs>
        <w:ind w:left="1418" w:hanging="28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A9B66C5"/>
    <w:multiLevelType w:val="multilevel"/>
    <w:tmpl w:val="7A9B66C5"/>
    <w:lvl w:ilvl="0" w:tentative="0">
      <w:start w:val="1"/>
      <w:numFmt w:val="decimal"/>
      <w:lvlText w:val="%1"/>
      <w:lvlJc w:val="left"/>
      <w:pPr>
        <w:tabs>
          <w:tab w:val="left" w:pos="567"/>
        </w:tabs>
        <w:ind w:left="567" w:hanging="567"/>
      </w:pPr>
      <w:rPr>
        <w:rFonts w:hint="default" w:ascii="Times New Roman" w:hAnsi="Times New Roman" w:eastAsia="宋体"/>
        <w:b/>
        <w:i w:val="0"/>
        <w:caps w:val="0"/>
        <w:strike w:val="0"/>
        <w:dstrike w:val="0"/>
        <w:color w:val="auto"/>
        <w:spacing w:val="0"/>
        <w:w w:val="100"/>
        <w:position w:val="0"/>
        <w:sz w:val="24"/>
        <w:szCs w:val="24"/>
      </w:rPr>
    </w:lvl>
    <w:lvl w:ilvl="1" w:tentative="0">
      <w:start w:val="1"/>
      <w:numFmt w:val="decimal"/>
      <w:pStyle w:val="6"/>
      <w:lvlText w:val="%1.%2"/>
      <w:lvlJc w:val="left"/>
      <w:pPr>
        <w:tabs>
          <w:tab w:val="left" w:pos="1134"/>
        </w:tabs>
        <w:ind w:left="1134" w:hanging="567"/>
      </w:pPr>
      <w:rPr>
        <w:rFonts w:hint="default" w:ascii="Times New Roman" w:hAnsi="Times New Roman" w:eastAsia="宋体"/>
        <w:b/>
        <w:i w:val="0"/>
        <w:sz w:val="24"/>
        <w:szCs w:val="24"/>
      </w:rPr>
    </w:lvl>
    <w:lvl w:ilvl="2" w:tentative="0">
      <w:start w:val="1"/>
      <w:numFmt w:val="decimal"/>
      <w:lvlText w:val="%1.%2.%3"/>
      <w:lvlJc w:val="left"/>
      <w:pPr>
        <w:tabs>
          <w:tab w:val="left" w:pos="1985"/>
        </w:tabs>
        <w:ind w:left="1985" w:hanging="851"/>
      </w:pPr>
      <w:rPr>
        <w:rFonts w:hint="default" w:ascii="Times New Roman" w:hAnsi="Times New Roman"/>
        <w:b/>
        <w:i w:val="0"/>
      </w:rPr>
    </w:lvl>
    <w:lvl w:ilvl="3" w:tentative="0">
      <w:start w:val="1"/>
      <w:numFmt w:val="decimal"/>
      <w:lvlText w:val="%1.%2.%3.%4"/>
      <w:lvlJc w:val="left"/>
      <w:pPr>
        <w:tabs>
          <w:tab w:val="left" w:pos="2214"/>
        </w:tabs>
        <w:ind w:left="1418" w:hanging="28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whz">
    <w15:presenceInfo w15:providerId="None" w15:userId="whz"/>
  </w15:person>
  <w15:person w15:author="lvgb">
    <w15:presenceInfo w15:providerId="None" w15:userId="lvgb"/>
  </w15:person>
  <w15:person w15:author="机构lv">
    <w15:presenceInfo w15:providerId="None" w15:userId="机构l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Q5ZDMwNDU4MTY5ZTQxMjQ2ZGM5N2E2YWEyYmMwNTcifQ=="/>
  </w:docVars>
  <w:rsids>
    <w:rsidRoot w:val="00C95D22"/>
    <w:rsid w:val="00002C56"/>
    <w:rsid w:val="000036A8"/>
    <w:rsid w:val="00013F0B"/>
    <w:rsid w:val="00015B12"/>
    <w:rsid w:val="00017E29"/>
    <w:rsid w:val="00020FC8"/>
    <w:rsid w:val="00025A02"/>
    <w:rsid w:val="00026504"/>
    <w:rsid w:val="00030230"/>
    <w:rsid w:val="00030599"/>
    <w:rsid w:val="00031A1E"/>
    <w:rsid w:val="00033F73"/>
    <w:rsid w:val="00034044"/>
    <w:rsid w:val="000340A7"/>
    <w:rsid w:val="00036A58"/>
    <w:rsid w:val="00041C64"/>
    <w:rsid w:val="00042F13"/>
    <w:rsid w:val="00046462"/>
    <w:rsid w:val="000464C3"/>
    <w:rsid w:val="00046E5D"/>
    <w:rsid w:val="000508CF"/>
    <w:rsid w:val="00053798"/>
    <w:rsid w:val="00054256"/>
    <w:rsid w:val="00054EFB"/>
    <w:rsid w:val="00055FE9"/>
    <w:rsid w:val="000573B5"/>
    <w:rsid w:val="000625A2"/>
    <w:rsid w:val="000659AC"/>
    <w:rsid w:val="00065DF1"/>
    <w:rsid w:val="00070E22"/>
    <w:rsid w:val="00070F33"/>
    <w:rsid w:val="00073B5B"/>
    <w:rsid w:val="00076135"/>
    <w:rsid w:val="00080B6F"/>
    <w:rsid w:val="00084838"/>
    <w:rsid w:val="00086FC9"/>
    <w:rsid w:val="000A14DA"/>
    <w:rsid w:val="000A20E1"/>
    <w:rsid w:val="000A24A2"/>
    <w:rsid w:val="000A34CB"/>
    <w:rsid w:val="000A5266"/>
    <w:rsid w:val="000A561D"/>
    <w:rsid w:val="000B2D59"/>
    <w:rsid w:val="000B4EC9"/>
    <w:rsid w:val="000C10C5"/>
    <w:rsid w:val="000C1E89"/>
    <w:rsid w:val="000C3795"/>
    <w:rsid w:val="000C492D"/>
    <w:rsid w:val="000C4FF2"/>
    <w:rsid w:val="000C5692"/>
    <w:rsid w:val="000D1DFA"/>
    <w:rsid w:val="000D5C8F"/>
    <w:rsid w:val="000E2DAE"/>
    <w:rsid w:val="000E3B2C"/>
    <w:rsid w:val="000E59D8"/>
    <w:rsid w:val="000E728D"/>
    <w:rsid w:val="000F0245"/>
    <w:rsid w:val="000F2AD3"/>
    <w:rsid w:val="000F2F32"/>
    <w:rsid w:val="000F6D56"/>
    <w:rsid w:val="000F7717"/>
    <w:rsid w:val="000F7C44"/>
    <w:rsid w:val="00100561"/>
    <w:rsid w:val="00101A51"/>
    <w:rsid w:val="00103406"/>
    <w:rsid w:val="001043C4"/>
    <w:rsid w:val="001057AA"/>
    <w:rsid w:val="0010699C"/>
    <w:rsid w:val="00107F78"/>
    <w:rsid w:val="001101B7"/>
    <w:rsid w:val="001104B0"/>
    <w:rsid w:val="00111D6A"/>
    <w:rsid w:val="00114282"/>
    <w:rsid w:val="001162FA"/>
    <w:rsid w:val="00116C9B"/>
    <w:rsid w:val="00117BC5"/>
    <w:rsid w:val="00117FE8"/>
    <w:rsid w:val="0012011D"/>
    <w:rsid w:val="0012721C"/>
    <w:rsid w:val="00130D24"/>
    <w:rsid w:val="00131D32"/>
    <w:rsid w:val="001323EA"/>
    <w:rsid w:val="00133079"/>
    <w:rsid w:val="00134FE1"/>
    <w:rsid w:val="001378DB"/>
    <w:rsid w:val="00140C6B"/>
    <w:rsid w:val="00141597"/>
    <w:rsid w:val="001415A9"/>
    <w:rsid w:val="00143548"/>
    <w:rsid w:val="001437D9"/>
    <w:rsid w:val="00143C00"/>
    <w:rsid w:val="00151F6E"/>
    <w:rsid w:val="00154B16"/>
    <w:rsid w:val="00155350"/>
    <w:rsid w:val="00155498"/>
    <w:rsid w:val="00156C9D"/>
    <w:rsid w:val="001622F2"/>
    <w:rsid w:val="0016433E"/>
    <w:rsid w:val="00165308"/>
    <w:rsid w:val="00167A8A"/>
    <w:rsid w:val="00174053"/>
    <w:rsid w:val="00175AC4"/>
    <w:rsid w:val="00177634"/>
    <w:rsid w:val="00180D67"/>
    <w:rsid w:val="00184930"/>
    <w:rsid w:val="00187B96"/>
    <w:rsid w:val="00190B0F"/>
    <w:rsid w:val="001920AD"/>
    <w:rsid w:val="00193A4C"/>
    <w:rsid w:val="001970EC"/>
    <w:rsid w:val="00197FEB"/>
    <w:rsid w:val="001A0617"/>
    <w:rsid w:val="001A0F53"/>
    <w:rsid w:val="001A1A09"/>
    <w:rsid w:val="001A3414"/>
    <w:rsid w:val="001A56B9"/>
    <w:rsid w:val="001B0892"/>
    <w:rsid w:val="001B3133"/>
    <w:rsid w:val="001B3EE1"/>
    <w:rsid w:val="001B60C1"/>
    <w:rsid w:val="001B6199"/>
    <w:rsid w:val="001C1018"/>
    <w:rsid w:val="001C21A2"/>
    <w:rsid w:val="001C3099"/>
    <w:rsid w:val="001C351A"/>
    <w:rsid w:val="001C6C23"/>
    <w:rsid w:val="001D1D17"/>
    <w:rsid w:val="001D429C"/>
    <w:rsid w:val="001D49F7"/>
    <w:rsid w:val="001D601D"/>
    <w:rsid w:val="001F0698"/>
    <w:rsid w:val="001F1E3B"/>
    <w:rsid w:val="001F3BDC"/>
    <w:rsid w:val="001F5243"/>
    <w:rsid w:val="001F72CC"/>
    <w:rsid w:val="00201526"/>
    <w:rsid w:val="00201B63"/>
    <w:rsid w:val="0020326B"/>
    <w:rsid w:val="002042F2"/>
    <w:rsid w:val="002044E3"/>
    <w:rsid w:val="002050CF"/>
    <w:rsid w:val="0020691A"/>
    <w:rsid w:val="00210656"/>
    <w:rsid w:val="002106B8"/>
    <w:rsid w:val="00214037"/>
    <w:rsid w:val="002172E0"/>
    <w:rsid w:val="00220352"/>
    <w:rsid w:val="0022054E"/>
    <w:rsid w:val="00220846"/>
    <w:rsid w:val="00221923"/>
    <w:rsid w:val="00222C03"/>
    <w:rsid w:val="00223CE6"/>
    <w:rsid w:val="00224C35"/>
    <w:rsid w:val="00227F9D"/>
    <w:rsid w:val="00233046"/>
    <w:rsid w:val="00234875"/>
    <w:rsid w:val="00242E77"/>
    <w:rsid w:val="002452BA"/>
    <w:rsid w:val="00247059"/>
    <w:rsid w:val="0024773B"/>
    <w:rsid w:val="00251549"/>
    <w:rsid w:val="00251DBD"/>
    <w:rsid w:val="00254324"/>
    <w:rsid w:val="0025439E"/>
    <w:rsid w:val="00256E44"/>
    <w:rsid w:val="0026033C"/>
    <w:rsid w:val="002649D9"/>
    <w:rsid w:val="002657F7"/>
    <w:rsid w:val="002707BF"/>
    <w:rsid w:val="00270909"/>
    <w:rsid w:val="00271298"/>
    <w:rsid w:val="00272D02"/>
    <w:rsid w:val="002731D0"/>
    <w:rsid w:val="00273DA2"/>
    <w:rsid w:val="00274079"/>
    <w:rsid w:val="00284EA0"/>
    <w:rsid w:val="00285B7D"/>
    <w:rsid w:val="00286013"/>
    <w:rsid w:val="0028704C"/>
    <w:rsid w:val="0029619F"/>
    <w:rsid w:val="00296451"/>
    <w:rsid w:val="0029702F"/>
    <w:rsid w:val="00297DC4"/>
    <w:rsid w:val="002A0B87"/>
    <w:rsid w:val="002A1434"/>
    <w:rsid w:val="002A20BE"/>
    <w:rsid w:val="002A3657"/>
    <w:rsid w:val="002A5F77"/>
    <w:rsid w:val="002A7ECB"/>
    <w:rsid w:val="002B00CA"/>
    <w:rsid w:val="002B0381"/>
    <w:rsid w:val="002B2A49"/>
    <w:rsid w:val="002B3494"/>
    <w:rsid w:val="002B5063"/>
    <w:rsid w:val="002B7554"/>
    <w:rsid w:val="002C08C3"/>
    <w:rsid w:val="002C25DB"/>
    <w:rsid w:val="002C3621"/>
    <w:rsid w:val="002C651C"/>
    <w:rsid w:val="002C6B2A"/>
    <w:rsid w:val="002D06F7"/>
    <w:rsid w:val="002D15C3"/>
    <w:rsid w:val="002D1BF4"/>
    <w:rsid w:val="002D2C2C"/>
    <w:rsid w:val="002E5F95"/>
    <w:rsid w:val="002F34A7"/>
    <w:rsid w:val="002F585D"/>
    <w:rsid w:val="002F6BF9"/>
    <w:rsid w:val="0030050C"/>
    <w:rsid w:val="003006B1"/>
    <w:rsid w:val="00304997"/>
    <w:rsid w:val="00306154"/>
    <w:rsid w:val="00306F18"/>
    <w:rsid w:val="0031257D"/>
    <w:rsid w:val="00313592"/>
    <w:rsid w:val="003162BE"/>
    <w:rsid w:val="0031731A"/>
    <w:rsid w:val="0032246B"/>
    <w:rsid w:val="00325F0E"/>
    <w:rsid w:val="00330A48"/>
    <w:rsid w:val="003312A7"/>
    <w:rsid w:val="00336EFB"/>
    <w:rsid w:val="00341AD1"/>
    <w:rsid w:val="00342C1C"/>
    <w:rsid w:val="00347E90"/>
    <w:rsid w:val="003502A6"/>
    <w:rsid w:val="00350E6D"/>
    <w:rsid w:val="0035120A"/>
    <w:rsid w:val="003539EA"/>
    <w:rsid w:val="00353E5B"/>
    <w:rsid w:val="00354347"/>
    <w:rsid w:val="00355D03"/>
    <w:rsid w:val="00360E90"/>
    <w:rsid w:val="00360F59"/>
    <w:rsid w:val="00361BE4"/>
    <w:rsid w:val="0036374E"/>
    <w:rsid w:val="003756F2"/>
    <w:rsid w:val="00376384"/>
    <w:rsid w:val="003807CB"/>
    <w:rsid w:val="003820ED"/>
    <w:rsid w:val="0038268A"/>
    <w:rsid w:val="00383C5E"/>
    <w:rsid w:val="003858A5"/>
    <w:rsid w:val="00390091"/>
    <w:rsid w:val="0039042D"/>
    <w:rsid w:val="00391173"/>
    <w:rsid w:val="00392FD3"/>
    <w:rsid w:val="003940B2"/>
    <w:rsid w:val="003947FB"/>
    <w:rsid w:val="003A127F"/>
    <w:rsid w:val="003A1853"/>
    <w:rsid w:val="003A19C3"/>
    <w:rsid w:val="003A5027"/>
    <w:rsid w:val="003A5536"/>
    <w:rsid w:val="003A6C97"/>
    <w:rsid w:val="003C04A4"/>
    <w:rsid w:val="003C0F7C"/>
    <w:rsid w:val="003C3F6B"/>
    <w:rsid w:val="003C4EF8"/>
    <w:rsid w:val="003C51E4"/>
    <w:rsid w:val="003C5440"/>
    <w:rsid w:val="003C6CA8"/>
    <w:rsid w:val="003D7172"/>
    <w:rsid w:val="003E0CAE"/>
    <w:rsid w:val="003E0FA9"/>
    <w:rsid w:val="003E481D"/>
    <w:rsid w:val="003E52D8"/>
    <w:rsid w:val="003E5F1B"/>
    <w:rsid w:val="003E67EA"/>
    <w:rsid w:val="003F4E4A"/>
    <w:rsid w:val="003F5CCC"/>
    <w:rsid w:val="003F77D5"/>
    <w:rsid w:val="004010AC"/>
    <w:rsid w:val="00401180"/>
    <w:rsid w:val="0040520F"/>
    <w:rsid w:val="0040661B"/>
    <w:rsid w:val="004067AB"/>
    <w:rsid w:val="00411346"/>
    <w:rsid w:val="00411AB1"/>
    <w:rsid w:val="00413D40"/>
    <w:rsid w:val="00415C7A"/>
    <w:rsid w:val="00417E9C"/>
    <w:rsid w:val="00423013"/>
    <w:rsid w:val="00423189"/>
    <w:rsid w:val="00424E00"/>
    <w:rsid w:val="00425042"/>
    <w:rsid w:val="00425AFD"/>
    <w:rsid w:val="00427096"/>
    <w:rsid w:val="0043036C"/>
    <w:rsid w:val="00430622"/>
    <w:rsid w:val="00430BC2"/>
    <w:rsid w:val="00431D31"/>
    <w:rsid w:val="00432FEC"/>
    <w:rsid w:val="00436F84"/>
    <w:rsid w:val="00440DD5"/>
    <w:rsid w:val="00441FEE"/>
    <w:rsid w:val="00442C78"/>
    <w:rsid w:val="004450B4"/>
    <w:rsid w:val="004476BD"/>
    <w:rsid w:val="004501C6"/>
    <w:rsid w:val="004529CD"/>
    <w:rsid w:val="00452E15"/>
    <w:rsid w:val="00454773"/>
    <w:rsid w:val="004568E0"/>
    <w:rsid w:val="00456AA8"/>
    <w:rsid w:val="00456B57"/>
    <w:rsid w:val="00457A94"/>
    <w:rsid w:val="00460FAD"/>
    <w:rsid w:val="0047207C"/>
    <w:rsid w:val="00474B75"/>
    <w:rsid w:val="00474BC9"/>
    <w:rsid w:val="00476435"/>
    <w:rsid w:val="00491119"/>
    <w:rsid w:val="00493055"/>
    <w:rsid w:val="00494249"/>
    <w:rsid w:val="00495172"/>
    <w:rsid w:val="004A118F"/>
    <w:rsid w:val="004A31C3"/>
    <w:rsid w:val="004A4CB3"/>
    <w:rsid w:val="004A73D0"/>
    <w:rsid w:val="004B0384"/>
    <w:rsid w:val="004B1319"/>
    <w:rsid w:val="004B164E"/>
    <w:rsid w:val="004B284E"/>
    <w:rsid w:val="004B2D60"/>
    <w:rsid w:val="004B3DBC"/>
    <w:rsid w:val="004B5062"/>
    <w:rsid w:val="004B5756"/>
    <w:rsid w:val="004B5BD1"/>
    <w:rsid w:val="004B78F4"/>
    <w:rsid w:val="004B7AD3"/>
    <w:rsid w:val="004B7F33"/>
    <w:rsid w:val="004C012F"/>
    <w:rsid w:val="004C5EF4"/>
    <w:rsid w:val="004D057E"/>
    <w:rsid w:val="004D1A44"/>
    <w:rsid w:val="004D5E46"/>
    <w:rsid w:val="004D66DE"/>
    <w:rsid w:val="004E108A"/>
    <w:rsid w:val="004E454A"/>
    <w:rsid w:val="004E4959"/>
    <w:rsid w:val="004E725C"/>
    <w:rsid w:val="004F0E83"/>
    <w:rsid w:val="004F2911"/>
    <w:rsid w:val="004F4390"/>
    <w:rsid w:val="004F43F6"/>
    <w:rsid w:val="004F5B5E"/>
    <w:rsid w:val="00500326"/>
    <w:rsid w:val="00502515"/>
    <w:rsid w:val="00503BA6"/>
    <w:rsid w:val="0050543C"/>
    <w:rsid w:val="005075BD"/>
    <w:rsid w:val="00510057"/>
    <w:rsid w:val="0051066F"/>
    <w:rsid w:val="0051573E"/>
    <w:rsid w:val="00516811"/>
    <w:rsid w:val="005173D3"/>
    <w:rsid w:val="0051778C"/>
    <w:rsid w:val="00520D49"/>
    <w:rsid w:val="00525BE6"/>
    <w:rsid w:val="0052658D"/>
    <w:rsid w:val="00527761"/>
    <w:rsid w:val="00537780"/>
    <w:rsid w:val="005419D3"/>
    <w:rsid w:val="00543465"/>
    <w:rsid w:val="005442D4"/>
    <w:rsid w:val="0054614C"/>
    <w:rsid w:val="00550E95"/>
    <w:rsid w:val="00552F75"/>
    <w:rsid w:val="0055349C"/>
    <w:rsid w:val="00553CFF"/>
    <w:rsid w:val="00556D9C"/>
    <w:rsid w:val="005572B8"/>
    <w:rsid w:val="00560276"/>
    <w:rsid w:val="0056448A"/>
    <w:rsid w:val="0056741E"/>
    <w:rsid w:val="005726A1"/>
    <w:rsid w:val="0057385A"/>
    <w:rsid w:val="00575B5D"/>
    <w:rsid w:val="005766B4"/>
    <w:rsid w:val="00577319"/>
    <w:rsid w:val="00582660"/>
    <w:rsid w:val="005843EF"/>
    <w:rsid w:val="005867D3"/>
    <w:rsid w:val="00587203"/>
    <w:rsid w:val="00591F8E"/>
    <w:rsid w:val="005926B2"/>
    <w:rsid w:val="00593880"/>
    <w:rsid w:val="00595194"/>
    <w:rsid w:val="00595357"/>
    <w:rsid w:val="00596D3E"/>
    <w:rsid w:val="00597D84"/>
    <w:rsid w:val="005A07DA"/>
    <w:rsid w:val="005A1084"/>
    <w:rsid w:val="005A3DE1"/>
    <w:rsid w:val="005A6726"/>
    <w:rsid w:val="005A7B1E"/>
    <w:rsid w:val="005B206F"/>
    <w:rsid w:val="005B2D5D"/>
    <w:rsid w:val="005B3BD3"/>
    <w:rsid w:val="005B5807"/>
    <w:rsid w:val="005C63AF"/>
    <w:rsid w:val="005D303E"/>
    <w:rsid w:val="005D3119"/>
    <w:rsid w:val="005D581D"/>
    <w:rsid w:val="005D5CEF"/>
    <w:rsid w:val="005D5ECA"/>
    <w:rsid w:val="005D6D31"/>
    <w:rsid w:val="005D7CF4"/>
    <w:rsid w:val="005E0AC9"/>
    <w:rsid w:val="005E106E"/>
    <w:rsid w:val="005E316A"/>
    <w:rsid w:val="005E7D03"/>
    <w:rsid w:val="005F0129"/>
    <w:rsid w:val="005F2912"/>
    <w:rsid w:val="005F4658"/>
    <w:rsid w:val="005F6BC7"/>
    <w:rsid w:val="00600651"/>
    <w:rsid w:val="0060203F"/>
    <w:rsid w:val="00605EA7"/>
    <w:rsid w:val="00606694"/>
    <w:rsid w:val="0060670D"/>
    <w:rsid w:val="0060763F"/>
    <w:rsid w:val="00611167"/>
    <w:rsid w:val="00613B16"/>
    <w:rsid w:val="00613CCA"/>
    <w:rsid w:val="00613CD7"/>
    <w:rsid w:val="006218ED"/>
    <w:rsid w:val="00623438"/>
    <w:rsid w:val="00624B91"/>
    <w:rsid w:val="006306F1"/>
    <w:rsid w:val="006316C5"/>
    <w:rsid w:val="006358BD"/>
    <w:rsid w:val="0063782A"/>
    <w:rsid w:val="00637D2D"/>
    <w:rsid w:val="0064223A"/>
    <w:rsid w:val="006470CE"/>
    <w:rsid w:val="006478EA"/>
    <w:rsid w:val="006533DD"/>
    <w:rsid w:val="00655689"/>
    <w:rsid w:val="00657F19"/>
    <w:rsid w:val="00660F7D"/>
    <w:rsid w:val="00661725"/>
    <w:rsid w:val="0066767F"/>
    <w:rsid w:val="006676A8"/>
    <w:rsid w:val="0066791D"/>
    <w:rsid w:val="00667ED9"/>
    <w:rsid w:val="006709D6"/>
    <w:rsid w:val="006738A4"/>
    <w:rsid w:val="0067411A"/>
    <w:rsid w:val="00674752"/>
    <w:rsid w:val="00674DA8"/>
    <w:rsid w:val="006773EF"/>
    <w:rsid w:val="00677C49"/>
    <w:rsid w:val="00677F08"/>
    <w:rsid w:val="0068056E"/>
    <w:rsid w:val="006805C8"/>
    <w:rsid w:val="00681886"/>
    <w:rsid w:val="006836F4"/>
    <w:rsid w:val="00686491"/>
    <w:rsid w:val="00687C91"/>
    <w:rsid w:val="00694E28"/>
    <w:rsid w:val="00695159"/>
    <w:rsid w:val="006955CA"/>
    <w:rsid w:val="006A1D41"/>
    <w:rsid w:val="006A2484"/>
    <w:rsid w:val="006A30E8"/>
    <w:rsid w:val="006B059E"/>
    <w:rsid w:val="006C1EDA"/>
    <w:rsid w:val="006C6AD5"/>
    <w:rsid w:val="006C7E96"/>
    <w:rsid w:val="006D00B7"/>
    <w:rsid w:val="006D23D9"/>
    <w:rsid w:val="006D2F7C"/>
    <w:rsid w:val="006D4D34"/>
    <w:rsid w:val="006D5D2A"/>
    <w:rsid w:val="006D60B0"/>
    <w:rsid w:val="006D6274"/>
    <w:rsid w:val="006E2CD4"/>
    <w:rsid w:val="006E4D66"/>
    <w:rsid w:val="006E4FC0"/>
    <w:rsid w:val="006E76E2"/>
    <w:rsid w:val="006E7F7F"/>
    <w:rsid w:val="006F0825"/>
    <w:rsid w:val="006F2B96"/>
    <w:rsid w:val="006F2E31"/>
    <w:rsid w:val="006F5025"/>
    <w:rsid w:val="006F7854"/>
    <w:rsid w:val="00701D55"/>
    <w:rsid w:val="00702BEA"/>
    <w:rsid w:val="00702ED8"/>
    <w:rsid w:val="00702F36"/>
    <w:rsid w:val="00705EAC"/>
    <w:rsid w:val="00706B52"/>
    <w:rsid w:val="00710565"/>
    <w:rsid w:val="00710621"/>
    <w:rsid w:val="00710AC6"/>
    <w:rsid w:val="00714147"/>
    <w:rsid w:val="00716F68"/>
    <w:rsid w:val="007204F6"/>
    <w:rsid w:val="00722927"/>
    <w:rsid w:val="00726EBF"/>
    <w:rsid w:val="0073215E"/>
    <w:rsid w:val="00732759"/>
    <w:rsid w:val="007330B7"/>
    <w:rsid w:val="007359AB"/>
    <w:rsid w:val="00735B66"/>
    <w:rsid w:val="007378CC"/>
    <w:rsid w:val="0074025F"/>
    <w:rsid w:val="00741284"/>
    <w:rsid w:val="00741873"/>
    <w:rsid w:val="00741F5E"/>
    <w:rsid w:val="007425FD"/>
    <w:rsid w:val="007436D2"/>
    <w:rsid w:val="0074447C"/>
    <w:rsid w:val="00747540"/>
    <w:rsid w:val="007505BC"/>
    <w:rsid w:val="0075179F"/>
    <w:rsid w:val="00754718"/>
    <w:rsid w:val="00755201"/>
    <w:rsid w:val="00756C52"/>
    <w:rsid w:val="0076141B"/>
    <w:rsid w:val="00762ED9"/>
    <w:rsid w:val="00765701"/>
    <w:rsid w:val="00766710"/>
    <w:rsid w:val="0077079E"/>
    <w:rsid w:val="00771679"/>
    <w:rsid w:val="0077245D"/>
    <w:rsid w:val="007730C2"/>
    <w:rsid w:val="00773208"/>
    <w:rsid w:val="00774925"/>
    <w:rsid w:val="00775D5B"/>
    <w:rsid w:val="00776CA4"/>
    <w:rsid w:val="00776E97"/>
    <w:rsid w:val="00777744"/>
    <w:rsid w:val="007807CA"/>
    <w:rsid w:val="00780F10"/>
    <w:rsid w:val="00781C9B"/>
    <w:rsid w:val="00785B38"/>
    <w:rsid w:val="00785D9D"/>
    <w:rsid w:val="0078610E"/>
    <w:rsid w:val="00787214"/>
    <w:rsid w:val="00790992"/>
    <w:rsid w:val="00790B5C"/>
    <w:rsid w:val="0079108F"/>
    <w:rsid w:val="007922A3"/>
    <w:rsid w:val="00797F71"/>
    <w:rsid w:val="007A01B1"/>
    <w:rsid w:val="007A13DF"/>
    <w:rsid w:val="007A1F4A"/>
    <w:rsid w:val="007A231B"/>
    <w:rsid w:val="007A2CD1"/>
    <w:rsid w:val="007A4CDF"/>
    <w:rsid w:val="007A506C"/>
    <w:rsid w:val="007A7444"/>
    <w:rsid w:val="007B34DE"/>
    <w:rsid w:val="007C1C3E"/>
    <w:rsid w:val="007C204A"/>
    <w:rsid w:val="007C2ACC"/>
    <w:rsid w:val="007C5E63"/>
    <w:rsid w:val="007C65B1"/>
    <w:rsid w:val="007C793E"/>
    <w:rsid w:val="007D6649"/>
    <w:rsid w:val="007D75FA"/>
    <w:rsid w:val="007D7A53"/>
    <w:rsid w:val="007D7E55"/>
    <w:rsid w:val="007E2548"/>
    <w:rsid w:val="007E2E42"/>
    <w:rsid w:val="007E3EC2"/>
    <w:rsid w:val="007F4212"/>
    <w:rsid w:val="007F5991"/>
    <w:rsid w:val="007F60E3"/>
    <w:rsid w:val="007F62CB"/>
    <w:rsid w:val="007F745C"/>
    <w:rsid w:val="00800C8D"/>
    <w:rsid w:val="008012F1"/>
    <w:rsid w:val="00801862"/>
    <w:rsid w:val="008062E9"/>
    <w:rsid w:val="00806809"/>
    <w:rsid w:val="008132C2"/>
    <w:rsid w:val="008134B6"/>
    <w:rsid w:val="00814A00"/>
    <w:rsid w:val="00816DEA"/>
    <w:rsid w:val="0082485C"/>
    <w:rsid w:val="00830633"/>
    <w:rsid w:val="00832F91"/>
    <w:rsid w:val="008337E9"/>
    <w:rsid w:val="00834346"/>
    <w:rsid w:val="00834EA3"/>
    <w:rsid w:val="00835A75"/>
    <w:rsid w:val="00836E39"/>
    <w:rsid w:val="00836FDD"/>
    <w:rsid w:val="00845D1A"/>
    <w:rsid w:val="00855BDE"/>
    <w:rsid w:val="00856347"/>
    <w:rsid w:val="00856B63"/>
    <w:rsid w:val="00860A06"/>
    <w:rsid w:val="00863A09"/>
    <w:rsid w:val="00863BC9"/>
    <w:rsid w:val="008709CE"/>
    <w:rsid w:val="00871CA2"/>
    <w:rsid w:val="0087304F"/>
    <w:rsid w:val="008731BC"/>
    <w:rsid w:val="00874A62"/>
    <w:rsid w:val="00877D9F"/>
    <w:rsid w:val="00882E7A"/>
    <w:rsid w:val="008840E8"/>
    <w:rsid w:val="00884812"/>
    <w:rsid w:val="00884F84"/>
    <w:rsid w:val="00885492"/>
    <w:rsid w:val="00885939"/>
    <w:rsid w:val="0088646F"/>
    <w:rsid w:val="00886F78"/>
    <w:rsid w:val="0088725F"/>
    <w:rsid w:val="00890C4A"/>
    <w:rsid w:val="0089107B"/>
    <w:rsid w:val="00892A07"/>
    <w:rsid w:val="00894FF1"/>
    <w:rsid w:val="008A06ED"/>
    <w:rsid w:val="008A4418"/>
    <w:rsid w:val="008A58C1"/>
    <w:rsid w:val="008A5BFF"/>
    <w:rsid w:val="008B0251"/>
    <w:rsid w:val="008B27AE"/>
    <w:rsid w:val="008B32E2"/>
    <w:rsid w:val="008B52E4"/>
    <w:rsid w:val="008B7AE1"/>
    <w:rsid w:val="008C60B7"/>
    <w:rsid w:val="008D2426"/>
    <w:rsid w:val="008E1D56"/>
    <w:rsid w:val="008E7200"/>
    <w:rsid w:val="008F246A"/>
    <w:rsid w:val="008F5759"/>
    <w:rsid w:val="008F5865"/>
    <w:rsid w:val="009023D6"/>
    <w:rsid w:val="0090436E"/>
    <w:rsid w:val="009076F5"/>
    <w:rsid w:val="0091033D"/>
    <w:rsid w:val="00914D3A"/>
    <w:rsid w:val="00916F0F"/>
    <w:rsid w:val="009208CF"/>
    <w:rsid w:val="00921B7A"/>
    <w:rsid w:val="009230E2"/>
    <w:rsid w:val="009261B3"/>
    <w:rsid w:val="009272F1"/>
    <w:rsid w:val="00927DE3"/>
    <w:rsid w:val="00930111"/>
    <w:rsid w:val="00937E1B"/>
    <w:rsid w:val="0094558D"/>
    <w:rsid w:val="00946522"/>
    <w:rsid w:val="0094747F"/>
    <w:rsid w:val="00952E63"/>
    <w:rsid w:val="0095615D"/>
    <w:rsid w:val="009565FC"/>
    <w:rsid w:val="00956D15"/>
    <w:rsid w:val="009611A0"/>
    <w:rsid w:val="0096305E"/>
    <w:rsid w:val="00965346"/>
    <w:rsid w:val="00966E92"/>
    <w:rsid w:val="009728A2"/>
    <w:rsid w:val="009752B9"/>
    <w:rsid w:val="0097549A"/>
    <w:rsid w:val="009764A2"/>
    <w:rsid w:val="00980BBC"/>
    <w:rsid w:val="00981A6D"/>
    <w:rsid w:val="00982BBB"/>
    <w:rsid w:val="00983F12"/>
    <w:rsid w:val="00984E42"/>
    <w:rsid w:val="0098519B"/>
    <w:rsid w:val="00985FD1"/>
    <w:rsid w:val="009924F6"/>
    <w:rsid w:val="00994BA7"/>
    <w:rsid w:val="00995047"/>
    <w:rsid w:val="009964AE"/>
    <w:rsid w:val="009965DE"/>
    <w:rsid w:val="00997BA3"/>
    <w:rsid w:val="009A087A"/>
    <w:rsid w:val="009A0A8B"/>
    <w:rsid w:val="009A1800"/>
    <w:rsid w:val="009A2C86"/>
    <w:rsid w:val="009A4317"/>
    <w:rsid w:val="009A5261"/>
    <w:rsid w:val="009A6758"/>
    <w:rsid w:val="009B6F19"/>
    <w:rsid w:val="009C0D7A"/>
    <w:rsid w:val="009C2B1B"/>
    <w:rsid w:val="009C3908"/>
    <w:rsid w:val="009C6B37"/>
    <w:rsid w:val="009C6C1D"/>
    <w:rsid w:val="009C7B6A"/>
    <w:rsid w:val="009D0273"/>
    <w:rsid w:val="009D0447"/>
    <w:rsid w:val="009D43E4"/>
    <w:rsid w:val="009D5528"/>
    <w:rsid w:val="009D597F"/>
    <w:rsid w:val="009D606D"/>
    <w:rsid w:val="009D729A"/>
    <w:rsid w:val="009E1E88"/>
    <w:rsid w:val="009E73B8"/>
    <w:rsid w:val="009F170B"/>
    <w:rsid w:val="009F201A"/>
    <w:rsid w:val="00A0260E"/>
    <w:rsid w:val="00A03103"/>
    <w:rsid w:val="00A07101"/>
    <w:rsid w:val="00A07F73"/>
    <w:rsid w:val="00A10213"/>
    <w:rsid w:val="00A13A57"/>
    <w:rsid w:val="00A15920"/>
    <w:rsid w:val="00A17B8E"/>
    <w:rsid w:val="00A224CC"/>
    <w:rsid w:val="00A23959"/>
    <w:rsid w:val="00A253FC"/>
    <w:rsid w:val="00A30942"/>
    <w:rsid w:val="00A33C18"/>
    <w:rsid w:val="00A3649C"/>
    <w:rsid w:val="00A36B20"/>
    <w:rsid w:val="00A36DDE"/>
    <w:rsid w:val="00A41017"/>
    <w:rsid w:val="00A42256"/>
    <w:rsid w:val="00A42886"/>
    <w:rsid w:val="00A43932"/>
    <w:rsid w:val="00A4590F"/>
    <w:rsid w:val="00A46022"/>
    <w:rsid w:val="00A46D90"/>
    <w:rsid w:val="00A516A5"/>
    <w:rsid w:val="00A52628"/>
    <w:rsid w:val="00A53053"/>
    <w:rsid w:val="00A53231"/>
    <w:rsid w:val="00A55E8B"/>
    <w:rsid w:val="00A669BA"/>
    <w:rsid w:val="00A70309"/>
    <w:rsid w:val="00A70590"/>
    <w:rsid w:val="00A723A6"/>
    <w:rsid w:val="00A72975"/>
    <w:rsid w:val="00A73BB9"/>
    <w:rsid w:val="00A73D7E"/>
    <w:rsid w:val="00A80B9A"/>
    <w:rsid w:val="00A8363A"/>
    <w:rsid w:val="00A83A1F"/>
    <w:rsid w:val="00A8411B"/>
    <w:rsid w:val="00A84253"/>
    <w:rsid w:val="00A85E4F"/>
    <w:rsid w:val="00A9002C"/>
    <w:rsid w:val="00A90AE3"/>
    <w:rsid w:val="00A91A4F"/>
    <w:rsid w:val="00A94213"/>
    <w:rsid w:val="00A95A72"/>
    <w:rsid w:val="00A9666B"/>
    <w:rsid w:val="00A968AD"/>
    <w:rsid w:val="00AA20C8"/>
    <w:rsid w:val="00AA41A4"/>
    <w:rsid w:val="00AA73F6"/>
    <w:rsid w:val="00AA764E"/>
    <w:rsid w:val="00AA76C1"/>
    <w:rsid w:val="00AB0767"/>
    <w:rsid w:val="00AB0C1A"/>
    <w:rsid w:val="00AB0FAE"/>
    <w:rsid w:val="00AB2D6E"/>
    <w:rsid w:val="00AB71BB"/>
    <w:rsid w:val="00AB775B"/>
    <w:rsid w:val="00AC1122"/>
    <w:rsid w:val="00AC148A"/>
    <w:rsid w:val="00AC2187"/>
    <w:rsid w:val="00AC52CB"/>
    <w:rsid w:val="00AD0FA8"/>
    <w:rsid w:val="00AD1A41"/>
    <w:rsid w:val="00AD4390"/>
    <w:rsid w:val="00AD4B7D"/>
    <w:rsid w:val="00AD4ED9"/>
    <w:rsid w:val="00AD5507"/>
    <w:rsid w:val="00AD5812"/>
    <w:rsid w:val="00AD6211"/>
    <w:rsid w:val="00AE1BBD"/>
    <w:rsid w:val="00AE1D62"/>
    <w:rsid w:val="00AE236F"/>
    <w:rsid w:val="00AE3099"/>
    <w:rsid w:val="00AE4117"/>
    <w:rsid w:val="00AE587F"/>
    <w:rsid w:val="00AE7B40"/>
    <w:rsid w:val="00AF17D2"/>
    <w:rsid w:val="00AF24D0"/>
    <w:rsid w:val="00AF51FF"/>
    <w:rsid w:val="00AF5821"/>
    <w:rsid w:val="00AF624F"/>
    <w:rsid w:val="00AF756C"/>
    <w:rsid w:val="00B01F44"/>
    <w:rsid w:val="00B03886"/>
    <w:rsid w:val="00B05860"/>
    <w:rsid w:val="00B07015"/>
    <w:rsid w:val="00B078AE"/>
    <w:rsid w:val="00B10436"/>
    <w:rsid w:val="00B109C4"/>
    <w:rsid w:val="00B134BD"/>
    <w:rsid w:val="00B142AC"/>
    <w:rsid w:val="00B21E92"/>
    <w:rsid w:val="00B24EC4"/>
    <w:rsid w:val="00B25CDF"/>
    <w:rsid w:val="00B2747E"/>
    <w:rsid w:val="00B3140B"/>
    <w:rsid w:val="00B31800"/>
    <w:rsid w:val="00B32A27"/>
    <w:rsid w:val="00B34582"/>
    <w:rsid w:val="00B35EEF"/>
    <w:rsid w:val="00B36338"/>
    <w:rsid w:val="00B371E0"/>
    <w:rsid w:val="00B408B5"/>
    <w:rsid w:val="00B41336"/>
    <w:rsid w:val="00B4196C"/>
    <w:rsid w:val="00B45328"/>
    <w:rsid w:val="00B454C2"/>
    <w:rsid w:val="00B457BC"/>
    <w:rsid w:val="00B45AD5"/>
    <w:rsid w:val="00B471C0"/>
    <w:rsid w:val="00B50CC7"/>
    <w:rsid w:val="00B50E11"/>
    <w:rsid w:val="00B5343B"/>
    <w:rsid w:val="00B55652"/>
    <w:rsid w:val="00B55715"/>
    <w:rsid w:val="00B64084"/>
    <w:rsid w:val="00B65590"/>
    <w:rsid w:val="00B707E7"/>
    <w:rsid w:val="00B73F9D"/>
    <w:rsid w:val="00B74044"/>
    <w:rsid w:val="00B742DA"/>
    <w:rsid w:val="00B80917"/>
    <w:rsid w:val="00B8382B"/>
    <w:rsid w:val="00B86264"/>
    <w:rsid w:val="00B924B2"/>
    <w:rsid w:val="00B92D55"/>
    <w:rsid w:val="00B9454E"/>
    <w:rsid w:val="00B963B5"/>
    <w:rsid w:val="00BA173D"/>
    <w:rsid w:val="00BA2AE4"/>
    <w:rsid w:val="00BA6C70"/>
    <w:rsid w:val="00BA723E"/>
    <w:rsid w:val="00BB012B"/>
    <w:rsid w:val="00BB02BF"/>
    <w:rsid w:val="00BB17A6"/>
    <w:rsid w:val="00BB2E84"/>
    <w:rsid w:val="00BB3C45"/>
    <w:rsid w:val="00BB5529"/>
    <w:rsid w:val="00BB6745"/>
    <w:rsid w:val="00BC131F"/>
    <w:rsid w:val="00BC3095"/>
    <w:rsid w:val="00BC36F6"/>
    <w:rsid w:val="00BC5163"/>
    <w:rsid w:val="00BD1AF8"/>
    <w:rsid w:val="00BD270C"/>
    <w:rsid w:val="00BD4B70"/>
    <w:rsid w:val="00BD6F3F"/>
    <w:rsid w:val="00BE182A"/>
    <w:rsid w:val="00BE5BD4"/>
    <w:rsid w:val="00BE7A32"/>
    <w:rsid w:val="00BF1969"/>
    <w:rsid w:val="00BF3A96"/>
    <w:rsid w:val="00BF7365"/>
    <w:rsid w:val="00BF7907"/>
    <w:rsid w:val="00C00351"/>
    <w:rsid w:val="00C007AB"/>
    <w:rsid w:val="00C01376"/>
    <w:rsid w:val="00C0232B"/>
    <w:rsid w:val="00C05796"/>
    <w:rsid w:val="00C060EE"/>
    <w:rsid w:val="00C1334B"/>
    <w:rsid w:val="00C141A0"/>
    <w:rsid w:val="00C14D7D"/>
    <w:rsid w:val="00C154AD"/>
    <w:rsid w:val="00C16D15"/>
    <w:rsid w:val="00C20D2E"/>
    <w:rsid w:val="00C237AE"/>
    <w:rsid w:val="00C23E5D"/>
    <w:rsid w:val="00C25C43"/>
    <w:rsid w:val="00C2653F"/>
    <w:rsid w:val="00C30EC3"/>
    <w:rsid w:val="00C31297"/>
    <w:rsid w:val="00C33810"/>
    <w:rsid w:val="00C40561"/>
    <w:rsid w:val="00C428B1"/>
    <w:rsid w:val="00C44009"/>
    <w:rsid w:val="00C45363"/>
    <w:rsid w:val="00C508DB"/>
    <w:rsid w:val="00C52082"/>
    <w:rsid w:val="00C526B5"/>
    <w:rsid w:val="00C53029"/>
    <w:rsid w:val="00C55878"/>
    <w:rsid w:val="00C56ED0"/>
    <w:rsid w:val="00C6082D"/>
    <w:rsid w:val="00C62D71"/>
    <w:rsid w:val="00C66455"/>
    <w:rsid w:val="00C67080"/>
    <w:rsid w:val="00C67357"/>
    <w:rsid w:val="00C743B6"/>
    <w:rsid w:val="00C75F62"/>
    <w:rsid w:val="00C763B2"/>
    <w:rsid w:val="00C76DA0"/>
    <w:rsid w:val="00C771D6"/>
    <w:rsid w:val="00C77AA3"/>
    <w:rsid w:val="00C77D4D"/>
    <w:rsid w:val="00C82A42"/>
    <w:rsid w:val="00C82E69"/>
    <w:rsid w:val="00C8326B"/>
    <w:rsid w:val="00C847E6"/>
    <w:rsid w:val="00C854CA"/>
    <w:rsid w:val="00C85CA6"/>
    <w:rsid w:val="00C87691"/>
    <w:rsid w:val="00C901A4"/>
    <w:rsid w:val="00C91A70"/>
    <w:rsid w:val="00C93F6E"/>
    <w:rsid w:val="00C95D22"/>
    <w:rsid w:val="00C95DF3"/>
    <w:rsid w:val="00C97102"/>
    <w:rsid w:val="00CA198D"/>
    <w:rsid w:val="00CA34FA"/>
    <w:rsid w:val="00CA3D9D"/>
    <w:rsid w:val="00CA5974"/>
    <w:rsid w:val="00CA5E20"/>
    <w:rsid w:val="00CA712D"/>
    <w:rsid w:val="00CB21C9"/>
    <w:rsid w:val="00CB23A8"/>
    <w:rsid w:val="00CB4AEE"/>
    <w:rsid w:val="00CB4F6A"/>
    <w:rsid w:val="00CB5608"/>
    <w:rsid w:val="00CB5BE8"/>
    <w:rsid w:val="00CB63E9"/>
    <w:rsid w:val="00CB651E"/>
    <w:rsid w:val="00CC0D42"/>
    <w:rsid w:val="00CC6CF3"/>
    <w:rsid w:val="00CC6D8B"/>
    <w:rsid w:val="00CC7D76"/>
    <w:rsid w:val="00CD2096"/>
    <w:rsid w:val="00CD7497"/>
    <w:rsid w:val="00CD7A2B"/>
    <w:rsid w:val="00CE0580"/>
    <w:rsid w:val="00CE1067"/>
    <w:rsid w:val="00CE1AB0"/>
    <w:rsid w:val="00CE2644"/>
    <w:rsid w:val="00CE4AF7"/>
    <w:rsid w:val="00CE6546"/>
    <w:rsid w:val="00CE711B"/>
    <w:rsid w:val="00CF38FC"/>
    <w:rsid w:val="00CF44E6"/>
    <w:rsid w:val="00CF4996"/>
    <w:rsid w:val="00CF5D90"/>
    <w:rsid w:val="00D0071A"/>
    <w:rsid w:val="00D00790"/>
    <w:rsid w:val="00D06239"/>
    <w:rsid w:val="00D1063F"/>
    <w:rsid w:val="00D11324"/>
    <w:rsid w:val="00D13A10"/>
    <w:rsid w:val="00D16759"/>
    <w:rsid w:val="00D2035D"/>
    <w:rsid w:val="00D209EE"/>
    <w:rsid w:val="00D22C4F"/>
    <w:rsid w:val="00D23326"/>
    <w:rsid w:val="00D2433C"/>
    <w:rsid w:val="00D246E3"/>
    <w:rsid w:val="00D3029C"/>
    <w:rsid w:val="00D30508"/>
    <w:rsid w:val="00D31017"/>
    <w:rsid w:val="00D3104D"/>
    <w:rsid w:val="00D35B94"/>
    <w:rsid w:val="00D36C17"/>
    <w:rsid w:val="00D41FE7"/>
    <w:rsid w:val="00D472D4"/>
    <w:rsid w:val="00D53DBE"/>
    <w:rsid w:val="00D547DC"/>
    <w:rsid w:val="00D54E7B"/>
    <w:rsid w:val="00D54EE1"/>
    <w:rsid w:val="00D560D8"/>
    <w:rsid w:val="00D569CD"/>
    <w:rsid w:val="00D56ECF"/>
    <w:rsid w:val="00D62473"/>
    <w:rsid w:val="00D62EF1"/>
    <w:rsid w:val="00D6342D"/>
    <w:rsid w:val="00D6589B"/>
    <w:rsid w:val="00D733E9"/>
    <w:rsid w:val="00D73AD7"/>
    <w:rsid w:val="00D747C7"/>
    <w:rsid w:val="00D75F40"/>
    <w:rsid w:val="00D77823"/>
    <w:rsid w:val="00D81026"/>
    <w:rsid w:val="00D813B8"/>
    <w:rsid w:val="00D834F3"/>
    <w:rsid w:val="00D85059"/>
    <w:rsid w:val="00D8507F"/>
    <w:rsid w:val="00D85181"/>
    <w:rsid w:val="00D8519A"/>
    <w:rsid w:val="00D85805"/>
    <w:rsid w:val="00D87B31"/>
    <w:rsid w:val="00D92A9C"/>
    <w:rsid w:val="00D92C57"/>
    <w:rsid w:val="00D94CD8"/>
    <w:rsid w:val="00D94D45"/>
    <w:rsid w:val="00D94F2F"/>
    <w:rsid w:val="00DA0053"/>
    <w:rsid w:val="00DA2B31"/>
    <w:rsid w:val="00DA3F18"/>
    <w:rsid w:val="00DB0E8C"/>
    <w:rsid w:val="00DB24DF"/>
    <w:rsid w:val="00DB57E5"/>
    <w:rsid w:val="00DC0DE6"/>
    <w:rsid w:val="00DC1595"/>
    <w:rsid w:val="00DC59D9"/>
    <w:rsid w:val="00DD08E0"/>
    <w:rsid w:val="00DD0EC9"/>
    <w:rsid w:val="00DD17EE"/>
    <w:rsid w:val="00DD1EC5"/>
    <w:rsid w:val="00DD2D41"/>
    <w:rsid w:val="00DD35B8"/>
    <w:rsid w:val="00DD3760"/>
    <w:rsid w:val="00DD612C"/>
    <w:rsid w:val="00DE1319"/>
    <w:rsid w:val="00DE3176"/>
    <w:rsid w:val="00DE5453"/>
    <w:rsid w:val="00DE6AE7"/>
    <w:rsid w:val="00DE6B4F"/>
    <w:rsid w:val="00DE713F"/>
    <w:rsid w:val="00DF0A6B"/>
    <w:rsid w:val="00DF345C"/>
    <w:rsid w:val="00DF48C0"/>
    <w:rsid w:val="00DF7730"/>
    <w:rsid w:val="00E0070A"/>
    <w:rsid w:val="00E00E85"/>
    <w:rsid w:val="00E0162A"/>
    <w:rsid w:val="00E021D7"/>
    <w:rsid w:val="00E04526"/>
    <w:rsid w:val="00E05AB5"/>
    <w:rsid w:val="00E05BAC"/>
    <w:rsid w:val="00E07B40"/>
    <w:rsid w:val="00E102D5"/>
    <w:rsid w:val="00E1047A"/>
    <w:rsid w:val="00E10C87"/>
    <w:rsid w:val="00E1247A"/>
    <w:rsid w:val="00E12DF7"/>
    <w:rsid w:val="00E14433"/>
    <w:rsid w:val="00E177B3"/>
    <w:rsid w:val="00E2044B"/>
    <w:rsid w:val="00E22A01"/>
    <w:rsid w:val="00E24F1B"/>
    <w:rsid w:val="00E26205"/>
    <w:rsid w:val="00E27514"/>
    <w:rsid w:val="00E3348D"/>
    <w:rsid w:val="00E339B3"/>
    <w:rsid w:val="00E4008C"/>
    <w:rsid w:val="00E40583"/>
    <w:rsid w:val="00E40B1B"/>
    <w:rsid w:val="00E415E7"/>
    <w:rsid w:val="00E4448E"/>
    <w:rsid w:val="00E44B9F"/>
    <w:rsid w:val="00E473FE"/>
    <w:rsid w:val="00E56BE9"/>
    <w:rsid w:val="00E63935"/>
    <w:rsid w:val="00E6523C"/>
    <w:rsid w:val="00E6525A"/>
    <w:rsid w:val="00E6705B"/>
    <w:rsid w:val="00E70F96"/>
    <w:rsid w:val="00E73FBB"/>
    <w:rsid w:val="00E74215"/>
    <w:rsid w:val="00E81B17"/>
    <w:rsid w:val="00E8409C"/>
    <w:rsid w:val="00E86A25"/>
    <w:rsid w:val="00E8791C"/>
    <w:rsid w:val="00E955E3"/>
    <w:rsid w:val="00EA017E"/>
    <w:rsid w:val="00EA46C0"/>
    <w:rsid w:val="00EA5A53"/>
    <w:rsid w:val="00EA7EDA"/>
    <w:rsid w:val="00EB291D"/>
    <w:rsid w:val="00EB2DE7"/>
    <w:rsid w:val="00EB45E2"/>
    <w:rsid w:val="00EB4A2B"/>
    <w:rsid w:val="00EB55CF"/>
    <w:rsid w:val="00EB6853"/>
    <w:rsid w:val="00EC3C92"/>
    <w:rsid w:val="00EC6A61"/>
    <w:rsid w:val="00ED56BB"/>
    <w:rsid w:val="00ED5788"/>
    <w:rsid w:val="00EE38C9"/>
    <w:rsid w:val="00EE457D"/>
    <w:rsid w:val="00EE4913"/>
    <w:rsid w:val="00EE59E6"/>
    <w:rsid w:val="00EE5EE4"/>
    <w:rsid w:val="00EE7C5C"/>
    <w:rsid w:val="00EE7CB7"/>
    <w:rsid w:val="00EF16D4"/>
    <w:rsid w:val="00EF35FC"/>
    <w:rsid w:val="00EF5438"/>
    <w:rsid w:val="00EF54D8"/>
    <w:rsid w:val="00F01B52"/>
    <w:rsid w:val="00F026C3"/>
    <w:rsid w:val="00F027AF"/>
    <w:rsid w:val="00F032B1"/>
    <w:rsid w:val="00F05C11"/>
    <w:rsid w:val="00F10881"/>
    <w:rsid w:val="00F108BE"/>
    <w:rsid w:val="00F13437"/>
    <w:rsid w:val="00F14476"/>
    <w:rsid w:val="00F23CBC"/>
    <w:rsid w:val="00F25B2B"/>
    <w:rsid w:val="00F26931"/>
    <w:rsid w:val="00F26F67"/>
    <w:rsid w:val="00F31D26"/>
    <w:rsid w:val="00F32602"/>
    <w:rsid w:val="00F332FC"/>
    <w:rsid w:val="00F3526B"/>
    <w:rsid w:val="00F41251"/>
    <w:rsid w:val="00F41468"/>
    <w:rsid w:val="00F43B17"/>
    <w:rsid w:val="00F478E7"/>
    <w:rsid w:val="00F50B31"/>
    <w:rsid w:val="00F519D8"/>
    <w:rsid w:val="00F51BE0"/>
    <w:rsid w:val="00F526FD"/>
    <w:rsid w:val="00F55729"/>
    <w:rsid w:val="00F5592C"/>
    <w:rsid w:val="00F57DC6"/>
    <w:rsid w:val="00F62517"/>
    <w:rsid w:val="00F62E55"/>
    <w:rsid w:val="00F84057"/>
    <w:rsid w:val="00F85F1B"/>
    <w:rsid w:val="00F92E4C"/>
    <w:rsid w:val="00F946A8"/>
    <w:rsid w:val="00F97D32"/>
    <w:rsid w:val="00FA0CA7"/>
    <w:rsid w:val="00FA273A"/>
    <w:rsid w:val="00FA3AC8"/>
    <w:rsid w:val="00FA7BE6"/>
    <w:rsid w:val="00FA7CE2"/>
    <w:rsid w:val="00FB485C"/>
    <w:rsid w:val="00FB62C9"/>
    <w:rsid w:val="00FC1C41"/>
    <w:rsid w:val="00FC27F8"/>
    <w:rsid w:val="00FC6147"/>
    <w:rsid w:val="00FC7CBD"/>
    <w:rsid w:val="00FD0674"/>
    <w:rsid w:val="00FD082B"/>
    <w:rsid w:val="00FD140C"/>
    <w:rsid w:val="00FD2A3B"/>
    <w:rsid w:val="00FD4E67"/>
    <w:rsid w:val="00FD5E4D"/>
    <w:rsid w:val="00FD7408"/>
    <w:rsid w:val="00FE0814"/>
    <w:rsid w:val="00FE228D"/>
    <w:rsid w:val="00FE2F0B"/>
    <w:rsid w:val="00FE3DDC"/>
    <w:rsid w:val="00FE5B58"/>
    <w:rsid w:val="00FE7975"/>
    <w:rsid w:val="00FF0C3B"/>
    <w:rsid w:val="00FF31F0"/>
    <w:rsid w:val="00FF3A90"/>
    <w:rsid w:val="00FF3C43"/>
    <w:rsid w:val="046A1B3C"/>
    <w:rsid w:val="050272CC"/>
    <w:rsid w:val="164E1275"/>
    <w:rsid w:val="1A014DCB"/>
    <w:rsid w:val="4DFA657A"/>
    <w:rsid w:val="598B3802"/>
    <w:rsid w:val="61746C98"/>
    <w:rsid w:val="79070E70"/>
    <w:rsid w:val="FCD700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rFonts w:ascii="华文行楷" w:hAnsi="宋体" w:eastAsia="华文行楷"/>
      <w:b/>
      <w:bC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3"/>
    <w:unhideWhenUsed/>
    <w:qFormat/>
    <w:uiPriority w:val="0"/>
    <w:pPr>
      <w:jc w:val="left"/>
    </w:p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List Bullet 2"/>
    <w:basedOn w:val="1"/>
    <w:qFormat/>
    <w:uiPriority w:val="0"/>
    <w:pPr>
      <w:numPr>
        <w:ilvl w:val="1"/>
        <w:numId w:val="1"/>
      </w:numPr>
      <w:spacing w:line="360" w:lineRule="auto"/>
    </w:pPr>
    <w:rPr>
      <w:rFonts w:hAnsi="宋体"/>
      <w:bCs/>
      <w:sz w:val="24"/>
      <w:szCs w:val="24"/>
    </w:rPr>
  </w:style>
  <w:style w:type="paragraph" w:styleId="7">
    <w:name w:val="Date"/>
    <w:basedOn w:val="1"/>
    <w:next w:val="1"/>
    <w:qFormat/>
    <w:uiPriority w:val="0"/>
    <w:rPr>
      <w:rFonts w:ascii="黑体" w:eastAsia="黑体"/>
      <w:b/>
      <w:sz w:val="28"/>
      <w:szCs w:val="24"/>
    </w:rPr>
  </w:style>
  <w:style w:type="paragraph" w:styleId="8">
    <w:name w:val="Balloon Text"/>
    <w:basedOn w:val="1"/>
    <w:semiHidden/>
    <w:qFormat/>
    <w:uiPriority w:val="0"/>
    <w:rPr>
      <w:sz w:val="18"/>
      <w:szCs w:val="18"/>
    </w:rPr>
  </w:style>
  <w:style w:type="paragraph" w:styleId="9">
    <w:name w:val="footer"/>
    <w:basedOn w:val="1"/>
    <w:link w:val="28"/>
    <w:qFormat/>
    <w:uiPriority w:val="99"/>
    <w:pPr>
      <w:tabs>
        <w:tab w:val="center" w:pos="4153"/>
        <w:tab w:val="right" w:pos="8306"/>
      </w:tabs>
      <w:snapToGrid w:val="0"/>
      <w:jc w:val="left"/>
    </w:pPr>
    <w:rPr>
      <w:sz w:val="18"/>
      <w:szCs w:val="18"/>
    </w:rPr>
  </w:style>
  <w:style w:type="paragraph" w:styleId="10">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30"/>
    <w:qFormat/>
    <w:uiPriority w:val="0"/>
    <w:pPr>
      <w:spacing w:before="240" w:after="60"/>
      <w:jc w:val="center"/>
      <w:outlineLvl w:val="0"/>
    </w:pPr>
    <w:rPr>
      <w:rFonts w:asciiTheme="majorHAnsi" w:hAnsiTheme="majorHAnsi" w:cstheme="majorBidi"/>
      <w:b/>
      <w:bCs/>
      <w:sz w:val="32"/>
      <w:szCs w:val="32"/>
    </w:rPr>
  </w:style>
  <w:style w:type="paragraph" w:styleId="14">
    <w:name w:val="annotation subject"/>
    <w:basedOn w:val="3"/>
    <w:next w:val="3"/>
    <w:link w:val="34"/>
    <w:semiHidden/>
    <w:unhideWhenUsed/>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annotation reference"/>
    <w:basedOn w:val="17"/>
    <w:semiHidden/>
    <w:unhideWhenUsed/>
    <w:qFormat/>
    <w:uiPriority w:val="0"/>
    <w:rPr>
      <w:sz w:val="21"/>
      <w:szCs w:val="21"/>
    </w:rPr>
  </w:style>
  <w:style w:type="paragraph" w:styleId="21">
    <w:name w:val="List Paragraph"/>
    <w:basedOn w:val="1"/>
    <w:link w:val="35"/>
    <w:qFormat/>
    <w:uiPriority w:val="0"/>
    <w:pPr>
      <w:widowControl/>
      <w:ind w:firstLine="420"/>
    </w:pPr>
    <w:rPr>
      <w:rFonts w:ascii="Calibri" w:hAnsi="Calibri" w:cs="宋体"/>
      <w:kern w:val="0"/>
      <w:szCs w:val="21"/>
    </w:rPr>
  </w:style>
  <w:style w:type="paragraph" w:customStyle="1" w:styleId="22">
    <w:name w:val="样式2"/>
    <w:basedOn w:val="5"/>
    <w:qFormat/>
    <w:uiPriority w:val="0"/>
    <w:pPr>
      <w:spacing w:after="0" w:line="400" w:lineRule="exact"/>
      <w:ind w:left="0" w:leftChars="0"/>
      <w:jc w:val="left"/>
    </w:pPr>
    <w:rPr>
      <w:rFonts w:ascii="宋体"/>
      <w:sz w:val="28"/>
      <w:szCs w:val="28"/>
    </w:rPr>
  </w:style>
  <w:style w:type="paragraph" w:customStyle="1" w:styleId="23">
    <w:name w:val="样式 样式2 + 小四"/>
    <w:basedOn w:val="1"/>
    <w:qFormat/>
    <w:uiPriority w:val="0"/>
    <w:pPr>
      <w:numPr>
        <w:ilvl w:val="0"/>
        <w:numId w:val="2"/>
      </w:numPr>
    </w:pPr>
  </w:style>
  <w:style w:type="character" w:customStyle="1" w:styleId="24">
    <w:name w:val="text2"/>
    <w:basedOn w:val="17"/>
    <w:qFormat/>
    <w:uiPriority w:val="0"/>
  </w:style>
  <w:style w:type="paragraph" w:customStyle="1" w:styleId="25">
    <w:name w:val="xl35"/>
    <w:basedOn w:val="1"/>
    <w:qFormat/>
    <w:uiPriority w:val="0"/>
    <w:pPr>
      <w:widowControl/>
      <w:pBdr>
        <w:left w:val="single" w:color="auto" w:sz="4" w:space="0"/>
        <w:bottom w:val="single" w:color="auto" w:sz="4" w:space="0"/>
      </w:pBdr>
      <w:spacing w:before="100" w:beforeAutospacing="1" w:after="100" w:afterAutospacing="1"/>
    </w:pPr>
    <w:rPr>
      <w:rFonts w:ascii="Arial Unicode MS" w:hAnsi="Arial Unicode MS"/>
      <w:kern w:val="0"/>
      <w:szCs w:val="21"/>
    </w:rPr>
  </w:style>
  <w:style w:type="paragraph" w:customStyle="1" w:styleId="26">
    <w:name w:val="1"/>
    <w:basedOn w:val="1"/>
    <w:next w:val="4"/>
    <w:qFormat/>
    <w:uiPriority w:val="0"/>
    <w:rPr>
      <w:sz w:val="24"/>
    </w:rPr>
  </w:style>
  <w:style w:type="paragraph" w:customStyle="1" w:styleId="27">
    <w:name w:val="Default"/>
    <w:qFormat/>
    <w:uiPriority w:val="0"/>
    <w:pPr>
      <w:widowControl w:val="0"/>
      <w:autoSpaceDE w:val="0"/>
      <w:autoSpaceDN w:val="0"/>
      <w:adjustRightInd w:val="0"/>
    </w:pPr>
    <w:rPr>
      <w:rFonts w:ascii="宋体..鄶齷." w:hAnsi="Times New Roman" w:eastAsia="宋体..鄶齷." w:cs="宋体..鄶齷."/>
      <w:color w:val="000000"/>
      <w:sz w:val="24"/>
      <w:szCs w:val="24"/>
      <w:lang w:val="en-US" w:eastAsia="zh-CN" w:bidi="ar-SA"/>
    </w:rPr>
  </w:style>
  <w:style w:type="character" w:customStyle="1" w:styleId="28">
    <w:name w:val="页脚 Char"/>
    <w:basedOn w:val="17"/>
    <w:link w:val="9"/>
    <w:qFormat/>
    <w:uiPriority w:val="99"/>
    <w:rPr>
      <w:kern w:val="2"/>
      <w:sz w:val="18"/>
      <w:szCs w:val="18"/>
    </w:rPr>
  </w:style>
  <w:style w:type="paragraph" w:customStyle="1" w:styleId="29">
    <w:name w:val="列出段落3"/>
    <w:basedOn w:val="1"/>
    <w:qFormat/>
    <w:uiPriority w:val="0"/>
    <w:pPr>
      <w:ind w:firstLine="420" w:firstLineChars="200"/>
    </w:pPr>
    <w:rPr>
      <w:rFonts w:ascii="Calibri" w:hAnsi="Calibri"/>
      <w:szCs w:val="22"/>
    </w:rPr>
  </w:style>
  <w:style w:type="character" w:customStyle="1" w:styleId="30">
    <w:name w:val="标题 Char"/>
    <w:basedOn w:val="17"/>
    <w:link w:val="13"/>
    <w:qFormat/>
    <w:uiPriority w:val="0"/>
    <w:rPr>
      <w:rFonts w:asciiTheme="majorHAnsi" w:hAnsiTheme="majorHAnsi" w:cstheme="majorBidi"/>
      <w:b/>
      <w:bCs/>
      <w:kern w:val="2"/>
      <w:sz w:val="32"/>
      <w:szCs w:val="32"/>
    </w:rPr>
  </w:style>
  <w:style w:type="paragraph" w:customStyle="1" w:styleId="31">
    <w:name w:val="列出段落1"/>
    <w:basedOn w:val="1"/>
    <w:qFormat/>
    <w:uiPriority w:val="0"/>
    <w:pPr>
      <w:ind w:firstLine="420" w:firstLineChars="200"/>
    </w:pPr>
    <w:rPr>
      <w:rFonts w:ascii="Calibri" w:hAnsi="Calibri"/>
      <w:szCs w:val="22"/>
    </w:rPr>
  </w:style>
  <w:style w:type="paragraph" w:customStyle="1" w:styleId="32">
    <w:name w:val="列出段落2"/>
    <w:basedOn w:val="1"/>
    <w:qFormat/>
    <w:uiPriority w:val="0"/>
    <w:pPr>
      <w:ind w:firstLine="420" w:firstLineChars="200"/>
    </w:pPr>
    <w:rPr>
      <w:rFonts w:ascii="Calibri" w:hAnsi="Calibri"/>
      <w:szCs w:val="22"/>
    </w:rPr>
  </w:style>
  <w:style w:type="character" w:customStyle="1" w:styleId="33">
    <w:name w:val="批注文字 Char"/>
    <w:basedOn w:val="17"/>
    <w:link w:val="3"/>
    <w:qFormat/>
    <w:uiPriority w:val="0"/>
    <w:rPr>
      <w:kern w:val="2"/>
      <w:sz w:val="21"/>
    </w:rPr>
  </w:style>
  <w:style w:type="character" w:customStyle="1" w:styleId="34">
    <w:name w:val="批注主题 Char"/>
    <w:basedOn w:val="33"/>
    <w:link w:val="14"/>
    <w:semiHidden/>
    <w:qFormat/>
    <w:uiPriority w:val="0"/>
    <w:rPr>
      <w:b/>
      <w:bCs/>
      <w:kern w:val="2"/>
      <w:sz w:val="21"/>
    </w:rPr>
  </w:style>
  <w:style w:type="character" w:customStyle="1" w:styleId="35">
    <w:name w:val="列出段落 Char"/>
    <w:link w:val="21"/>
    <w:qFormat/>
    <w:locked/>
    <w:uiPriority w:val="0"/>
    <w:rPr>
      <w:rFonts w:ascii="Calibri" w:hAnsi="Calibri" w:cs="宋体"/>
      <w:sz w:val="21"/>
      <w:szCs w:val="21"/>
    </w:rPr>
  </w:style>
  <w:style w:type="paragraph" w:styleId="36">
    <w:name w:val="No Spacing"/>
    <w:link w:val="37"/>
    <w:qFormat/>
    <w:uiPriority w:val="1"/>
    <w:rPr>
      <w:rFonts w:asciiTheme="minorHAnsi" w:hAnsiTheme="minorHAnsi" w:eastAsiaTheme="minorEastAsia" w:cstheme="minorBidi"/>
      <w:sz w:val="22"/>
      <w:szCs w:val="22"/>
      <w:lang w:val="en-US" w:eastAsia="zh-CN" w:bidi="ar-SA"/>
    </w:rPr>
  </w:style>
  <w:style w:type="character" w:customStyle="1" w:styleId="37">
    <w:name w:val="无间隔 Char"/>
    <w:basedOn w:val="17"/>
    <w:link w:val="36"/>
    <w:qFormat/>
    <w:uiPriority w:val="1"/>
    <w:rPr>
      <w:rFonts w:asciiTheme="minorHAnsi" w:hAnsiTheme="minorHAnsi" w:eastAsiaTheme="minorEastAsia" w:cstheme="minorBidi"/>
      <w:sz w:val="22"/>
      <w:szCs w:val="22"/>
    </w:rPr>
  </w:style>
  <w:style w:type="character" w:customStyle="1" w:styleId="38">
    <w:name w:val="页眉 Char"/>
    <w:basedOn w:val="17"/>
    <w:link w:val="10"/>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3901</Words>
  <Characters>4145</Characters>
  <Lines>34</Lines>
  <Paragraphs>9</Paragraphs>
  <TotalTime>5</TotalTime>
  <ScaleCrop>false</ScaleCrop>
  <LinksUpToDate>false</LinksUpToDate>
  <CharactersWithSpaces>4594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2017-12-06T22:30:00Z</dcterms:created>
  <dc:creator>Leaw Shiang Jiin</dc:creator>
  <cp:lastModifiedBy>whz</cp:lastModifiedBy>
  <cp:lastPrinted>2015-08-04T16:54:00Z</cp:lastPrinted>
  <dcterms:modified xsi:type="dcterms:W3CDTF">2024-10-17T07:23:12Z</dcterms:modified>
  <dc:title>制定标准操作规程的SOP</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7CBFF784DF9A4A5DB87959C8F86617BE_12</vt:lpwstr>
  </property>
</Properties>
</file>